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申扎县司法局机关2024年度部门决算公开报告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2941_WPSOffice_Level1"/>
      <w:bookmarkStart w:id="3" w:name="_Toc10049_WPSOffice_Level1"/>
      <w:bookmarkStart w:id="4" w:name="_Toc1704_WPSOffice_Level1"/>
      <w:bookmarkStart w:id="5" w:name="_Toc32433_WPSOffice_Level1"/>
      <w:bookmarkStart w:id="6" w:name="_Toc10720_WPSOffice_Level1"/>
      <w:bookmarkStart w:id="7" w:name="_Toc23465_WPSOffice_Level1"/>
      <w:bookmarkStart w:id="8" w:name="_Toc24238_WPSOffice_Level2"/>
      <w:bookmarkStart w:id="9" w:name="_Toc32622_WPSOffice_Level2"/>
      <w:bookmarkStart w:id="10" w:name="_Toc20274_WPSOffice_Level2"/>
      <w:bookmarkStart w:id="11" w:name="_Toc20205_WPSOffice_Level2"/>
      <w:bookmarkStart w:id="12" w:name="_Toc14159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474_WPSOffice_Level2"/>
      <w:bookmarkStart w:id="16" w:name="_Toc24059_WPSOffice_Level2"/>
      <w:bookmarkStart w:id="17" w:name="_Toc6572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default" w:ascii="仿宋_GB2312" w:hAnsi="ˎ̥" w:eastAsia="仿宋_GB2312"/>
          <w:color w:val="FF0000"/>
          <w:sz w:val="32"/>
          <w:szCs w:val="32"/>
          <w:lang w:val="en-US"/>
        </w:rPr>
        <w:t>XXXX</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default" w:ascii="仿宋_GB2312" w:hAnsi="ˎ̥" w:eastAsia="仿宋_GB2312"/>
          <w:color w:val="FF0000"/>
          <w:sz w:val="32"/>
          <w:szCs w:val="32"/>
          <w:lang w:val="en-US"/>
        </w:rPr>
        <w:t>XX</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w:t>
      </w:r>
      <w:r>
        <w:rPr>
          <w:rFonts w:hint="default" w:ascii="方正楷体_GBK" w:hAnsi="方正楷体_GBK" w:eastAsia="方正楷体_GBK" w:cs="方正楷体_GBK"/>
          <w:color w:val="FF0000"/>
          <w:sz w:val="32"/>
          <w:szCs w:val="32"/>
          <w:lang w:val="en-US"/>
        </w:rPr>
        <w:t>XXXX</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hint="eastAsia" w:ascii="方正楷体_GBK" w:hAnsi="方正楷体_GBK" w:eastAsia="方正楷体_GBK" w:cs="方正楷体_GBK"/>
          <w:sz w:val="32"/>
          <w:szCs w:val="32"/>
        </w:rPr>
      </w:pPr>
      <w:bookmarkStart w:id="21" w:name="_Toc19721_WPSOffice_Level2"/>
      <w:bookmarkStart w:id="22" w:name="_Toc4442_WPSOffice_Level2"/>
      <w:r>
        <w:rPr>
          <w:rFonts w:hint="eastAsia" w:ascii="方正楷体_GBK" w:hAnsi="方正楷体_GBK" w:eastAsia="方正楷体_GBK" w:cs="方正楷体_GBK"/>
          <w:sz w:val="32"/>
          <w:szCs w:val="32"/>
        </w:rPr>
        <w:t>（二）</w:t>
      </w:r>
      <w:r>
        <w:rPr>
          <w:rFonts w:hint="default" w:ascii="方正楷体_GBK" w:hAnsi="方正楷体_GBK" w:eastAsia="方正楷体_GBK" w:cs="方正楷体_GBK"/>
          <w:color w:val="FF0000"/>
          <w:sz w:val="32"/>
          <w:szCs w:val="32"/>
          <w:lang w:val="en-US"/>
        </w:rPr>
        <w:t>XXXX</w:t>
      </w:r>
      <w:r>
        <w:rPr>
          <w:rFonts w:hint="eastAsia" w:ascii="方正楷体_GBK" w:hAnsi="方正楷体_GBK" w:eastAsia="方正楷体_GBK" w:cs="方正楷体_GBK"/>
          <w:sz w:val="32"/>
          <w:szCs w:val="32"/>
        </w:rPr>
        <w:t>下属单位</w:t>
      </w:r>
      <w:bookmarkEnd w:id="21"/>
      <w:bookmarkEnd w:id="22"/>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23" w:name="_Toc30690_WPSOffice_Level1"/>
      <w:bookmarkStart w:id="24" w:name="_Toc8164_WPSOffice_Level1"/>
      <w:bookmarkStart w:id="25" w:name="_Toc6234_WPSOffice_Level1"/>
      <w:bookmarkStart w:id="26" w:name="_Toc30451_WPSOffice_Level1"/>
      <w:bookmarkStart w:id="27" w:name="_Toc28253_WPSOffice_Level1"/>
      <w:bookmarkStart w:id="28" w:name="_Toc15521_WPSOffice_Level1"/>
      <w:bookmarkStart w:id="29" w:name="_Toc11518_WPSOffice_Level2"/>
      <w:bookmarkStart w:id="30" w:name="_Toc4029_WPSOffice_Level2"/>
      <w:bookmarkStart w:id="31" w:name="_Toc32472_WPSOffice_Level2"/>
      <w:bookmarkStart w:id="32" w:name="_Toc6211_WPSOffice_Level2"/>
      <w:bookmarkStart w:id="33" w:name="_Toc8867_WPSOffice_Level2"/>
      <w:bookmarkStart w:id="34"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3"/>
      <w:bookmarkEnd w:id="24"/>
      <w:bookmarkEnd w:id="25"/>
      <w:bookmarkEnd w:id="26"/>
      <w:bookmarkEnd w:id="27"/>
      <w:bookmarkEnd w:id="28"/>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9"/>
      <w:bookmarkEnd w:id="30"/>
      <w:bookmarkEnd w:id="31"/>
      <w:bookmarkEnd w:id="32"/>
      <w:bookmarkEnd w:id="33"/>
      <w:bookmarkEnd w:id="34"/>
    </w:p>
    <w:p>
      <w:pPr>
        <w:spacing w:line="578" w:lineRule="exact"/>
        <w:ind w:firstLine="645"/>
        <w:rPr>
          <w:rFonts w:hint="eastAsia" w:ascii="黑体" w:hAnsi="黑体" w:eastAsia="黑体" w:cs="黑体"/>
          <w:sz w:val="32"/>
          <w:szCs w:val="32"/>
        </w:rPr>
      </w:pPr>
      <w:bookmarkStart w:id="35" w:name="_Toc26621_WPSOffice_Level2"/>
      <w:bookmarkStart w:id="36" w:name="_Toc30334_WPSOffice_Level2"/>
      <w:bookmarkStart w:id="37" w:name="_Toc14349_WPSOffice_Level2"/>
      <w:bookmarkStart w:id="38" w:name="_Toc23139_WPSOffice_Level2"/>
      <w:bookmarkStart w:id="39" w:name="_Toc28622_WPSOffice_Level2"/>
      <w:bookmarkStart w:id="40" w:name="_Toc25608_WPSOffice_Level2"/>
      <w:r>
        <w:rPr>
          <w:rFonts w:hint="eastAsia" w:ascii="黑体" w:hAnsi="黑体" w:eastAsia="黑体" w:cs="黑体"/>
          <w:sz w:val="32"/>
          <w:szCs w:val="32"/>
        </w:rPr>
        <w:t>二、收入决算公开表</w:t>
      </w:r>
      <w:bookmarkEnd w:id="35"/>
      <w:bookmarkEnd w:id="36"/>
      <w:bookmarkEnd w:id="37"/>
      <w:bookmarkEnd w:id="38"/>
      <w:bookmarkEnd w:id="39"/>
      <w:bookmarkEnd w:id="40"/>
      <w:bookmarkStart w:id="41" w:name="_Toc13854_WPSOffice_Level2"/>
      <w:bookmarkStart w:id="42" w:name="_Toc17626_WPSOffice_Level2"/>
      <w:bookmarkStart w:id="43" w:name="_Toc17858_WPSOffice_Level2"/>
      <w:bookmarkStart w:id="44" w:name="_Toc5489_WPSOffice_Level2"/>
      <w:bookmarkStart w:id="45" w:name="_Toc14658_WPSOffice_Level2"/>
      <w:bookmarkStart w:id="46"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1"/>
      <w:bookmarkEnd w:id="42"/>
      <w:bookmarkEnd w:id="43"/>
      <w:bookmarkEnd w:id="44"/>
      <w:bookmarkEnd w:id="45"/>
      <w:bookmarkEnd w:id="46"/>
      <w:bookmarkStart w:id="47" w:name="_Toc23591_WPSOffice_Level2"/>
      <w:bookmarkStart w:id="48" w:name="_Toc4265_WPSOffice_Level2"/>
      <w:bookmarkStart w:id="49" w:name="_Toc23493_WPSOffice_Level2"/>
      <w:bookmarkStart w:id="50" w:name="_Toc21415_WPSOffice_Level2"/>
      <w:bookmarkStart w:id="51" w:name="_Toc7988_WPSOffice_Level2"/>
      <w:bookmarkStart w:id="52"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7"/>
      <w:bookmarkEnd w:id="48"/>
      <w:bookmarkEnd w:id="49"/>
      <w:bookmarkEnd w:id="50"/>
      <w:bookmarkEnd w:id="51"/>
      <w:bookmarkEnd w:id="52"/>
    </w:p>
    <w:p>
      <w:pPr>
        <w:spacing w:line="578" w:lineRule="exact"/>
        <w:ind w:firstLine="645"/>
        <w:rPr>
          <w:rFonts w:hint="eastAsia" w:ascii="黑体" w:hAnsi="黑体" w:eastAsia="黑体" w:cs="黑体"/>
          <w:sz w:val="32"/>
          <w:szCs w:val="32"/>
        </w:rPr>
      </w:pPr>
      <w:bookmarkStart w:id="53" w:name="_Toc7879_WPSOffice_Level2"/>
      <w:bookmarkStart w:id="54" w:name="_Toc22783_WPSOffice_Level2"/>
      <w:bookmarkStart w:id="55" w:name="_Toc23829_WPSOffice_Level2"/>
      <w:bookmarkStart w:id="56" w:name="_Toc25166_WPSOffice_Level2"/>
      <w:bookmarkStart w:id="57" w:name="_Toc2158_WPSOffice_Level2"/>
      <w:bookmarkStart w:id="58" w:name="_Toc13516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bookmarkEnd w:id="57"/>
      <w:bookmarkEnd w:id="58"/>
      <w:bookmarkStart w:id="59" w:name="_Toc17833_WPSOffice_Level2"/>
      <w:bookmarkStart w:id="60" w:name="_Toc2632_WPSOffice_Level2"/>
      <w:bookmarkStart w:id="61" w:name="_Toc17283_WPSOffice_Level2"/>
      <w:bookmarkStart w:id="62" w:name="_Toc25362_WPSOffice_Level2"/>
      <w:bookmarkStart w:id="63" w:name="_Toc5343_WPSOffice_Level2"/>
      <w:bookmarkStart w:id="64"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5" w:name="_Toc11799_WPSOffice_Level2"/>
      <w:bookmarkStart w:id="66" w:name="_Toc13345_WPSOffice_Level2"/>
      <w:bookmarkStart w:id="67" w:name="_Toc6020_WPSOffice_Level2"/>
      <w:bookmarkStart w:id="68" w:name="_Toc21310_WPSOffice_Level2"/>
      <w:bookmarkStart w:id="69" w:name="_Toc1533_WPSOffice_Level2"/>
      <w:bookmarkStart w:id="70" w:name="_Toc5594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71" w:name="_Toc29886_WPSOffice_Level2"/>
      <w:bookmarkStart w:id="72" w:name="_Toc9377_WPSOffice_Level2"/>
      <w:bookmarkStart w:id="73" w:name="_Toc1820_WPSOffice_Level2"/>
      <w:bookmarkStart w:id="74" w:name="_Toc19961_WPSOffice_Level2"/>
      <w:r>
        <w:rPr>
          <w:rFonts w:hint="eastAsia" w:ascii="黑体" w:hAnsi="黑体" w:eastAsia="黑体" w:cs="黑体"/>
          <w:sz w:val="32"/>
          <w:szCs w:val="32"/>
        </w:rPr>
        <w:t>九、财政拨款“三公”经费支出决算</w:t>
      </w:r>
      <w:bookmarkEnd w:id="71"/>
      <w:bookmarkEnd w:id="72"/>
      <w:bookmarkEnd w:id="73"/>
      <w:bookmarkEnd w:id="74"/>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5" w:name="_Toc28629_WPSOffice_Level1"/>
      <w:bookmarkStart w:id="76" w:name="_Toc31264_WPSOffice_Level1"/>
      <w:bookmarkStart w:id="77" w:name="_Toc4402_WPSOffice_Level1"/>
      <w:bookmarkStart w:id="78" w:name="_Toc27590_WPSOffice_Level1"/>
      <w:bookmarkStart w:id="79" w:name="_Toc29683_WPSOffice_Level1"/>
      <w:bookmarkStart w:id="80"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5"/>
      <w:bookmarkEnd w:id="76"/>
      <w:bookmarkEnd w:id="77"/>
      <w:bookmarkEnd w:id="78"/>
      <w:bookmarkEnd w:id="79"/>
      <w:bookmarkEnd w:id="80"/>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0000FF"/>
          <w:sz w:val="32"/>
          <w:szCs w:val="32"/>
          <w:lang w:val="en-US" w:eastAsia="zh-CN"/>
        </w:rPr>
        <w:t>364.82</w:t>
      </w:r>
      <w:r>
        <w:rPr>
          <w:rFonts w:hint="eastAsia" w:ascii="仿宋_GB2312" w:hAnsi="ˎ̥" w:eastAsia="仿宋_GB2312"/>
          <w:sz w:val="32"/>
          <w:szCs w:val="32"/>
        </w:rPr>
        <w:t>万元，增长</w:t>
      </w:r>
      <w:r>
        <w:rPr>
          <w:rFonts w:hint="eastAsia" w:ascii="仿宋_GB2312" w:hAnsi="ˎ̥" w:eastAsia="仿宋_GB2312"/>
          <w:color w:val="0000FF"/>
          <w:sz w:val="32"/>
          <w:szCs w:val="32"/>
          <w:lang w:val="en-US" w:eastAsia="zh-CN"/>
        </w:rPr>
        <w:t>58.9</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2024年公共安全收入、支出增加388.17万元</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0000FF"/>
          <w:sz w:val="32"/>
          <w:szCs w:val="32"/>
          <w:lang w:val="en-US" w:eastAsia="zh-CN"/>
        </w:rPr>
        <w:t>2.1</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100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496.97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50.49</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487.29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49.5</w:t>
      </w:r>
      <w:r>
        <w:rPr>
          <w:rFonts w:hint="eastAsia" w:ascii="仿宋_GB2312" w:hAnsi="ˎ̥" w:eastAsia="仿宋_GB2312"/>
          <w:sz w:val="32"/>
          <w:szCs w:val="32"/>
        </w:rPr>
        <w:t>%；上缴上级支出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0000FF"/>
          <w:sz w:val="32"/>
          <w:szCs w:val="32"/>
          <w:lang w:val="en-US" w:eastAsia="zh-CN"/>
        </w:rPr>
        <w:t>364.82</w:t>
      </w:r>
      <w:r>
        <w:rPr>
          <w:rFonts w:hint="eastAsia" w:ascii="仿宋_GB2312" w:hAnsi="ˎ̥" w:eastAsia="仿宋_GB2312"/>
          <w:sz w:val="32"/>
          <w:szCs w:val="32"/>
        </w:rPr>
        <w:t>万元，增长</w:t>
      </w:r>
      <w:r>
        <w:rPr>
          <w:rFonts w:hint="eastAsia" w:ascii="仿宋_GB2312" w:hAnsi="ˎ̥" w:eastAsia="仿宋_GB2312"/>
          <w:color w:val="0000FF"/>
          <w:sz w:val="32"/>
          <w:szCs w:val="32"/>
          <w:lang w:val="en-US" w:eastAsia="zh-CN"/>
        </w:rPr>
        <w:t>59.8</w:t>
      </w:r>
      <w:r>
        <w:rPr>
          <w:rFonts w:hint="eastAsia" w:ascii="仿宋_GB2312" w:hAnsi="ˎ̥" w:eastAsia="仿宋_GB2312"/>
          <w:color w:val="0000FF"/>
          <w:sz w:val="32"/>
          <w:szCs w:val="32"/>
        </w:rPr>
        <w:t>%</w:t>
      </w:r>
      <w:r>
        <w:rPr>
          <w:rFonts w:hint="eastAsia" w:ascii="仿宋_GB2312" w:hAnsi="ˎ̥" w:eastAsia="仿宋_GB2312"/>
          <w:sz w:val="32"/>
          <w:szCs w:val="32"/>
        </w:rPr>
        <w:t>，主要原因：</w:t>
      </w:r>
      <w:r>
        <w:rPr>
          <w:rFonts w:hint="eastAsia" w:ascii="仿宋_GB2312" w:hAnsi="ˎ̥" w:eastAsia="仿宋_GB2312"/>
          <w:color w:val="0000FF"/>
          <w:sz w:val="32"/>
          <w:szCs w:val="32"/>
        </w:rPr>
        <w:t>一是</w:t>
      </w:r>
      <w:r>
        <w:rPr>
          <w:rFonts w:hint="eastAsia" w:ascii="仿宋_GB2312" w:hAnsi="ˎ̥" w:eastAsia="仿宋_GB2312"/>
          <w:color w:val="0000FF"/>
          <w:sz w:val="32"/>
          <w:szCs w:val="32"/>
          <w:lang w:val="en-US" w:eastAsia="zh-CN"/>
        </w:rPr>
        <w:t>2024年公共安全收入</w:t>
      </w:r>
      <w:r>
        <w:rPr>
          <w:rFonts w:hint="eastAsia" w:ascii="仿宋_GB2312" w:hAnsi="ˎ̥" w:eastAsia="仿宋_GB2312"/>
          <w:color w:val="0000FF"/>
          <w:sz w:val="32"/>
          <w:szCs w:val="32"/>
        </w:rPr>
        <w:t>。支出增加</w:t>
      </w:r>
      <w:r>
        <w:rPr>
          <w:rFonts w:hint="eastAsia" w:ascii="仿宋_GB2312" w:hAnsi="ˎ̥" w:eastAsia="仿宋_GB2312"/>
          <w:color w:val="0000FF"/>
          <w:sz w:val="32"/>
          <w:szCs w:val="32"/>
          <w:lang w:val="en-US" w:eastAsia="zh-CN"/>
        </w:rPr>
        <w:t>388.17万元</w:t>
      </w:r>
      <w:r>
        <w:rPr>
          <w:rFonts w:hint="eastAsia" w:ascii="仿宋_GB2312" w:hAnsi="ˎ̥" w:eastAsia="仿宋_GB2312"/>
          <w:color w:val="0000FF"/>
          <w:sz w:val="32"/>
          <w:szCs w:val="32"/>
        </w:rPr>
        <w:t>，增长主要原因：</w:t>
      </w:r>
      <w:r>
        <w:rPr>
          <w:rFonts w:hint="eastAsia" w:ascii="仿宋_GB2312" w:hAnsi="ˎ̥" w:eastAsia="仿宋_GB2312"/>
          <w:color w:val="0000FF"/>
          <w:sz w:val="32"/>
          <w:szCs w:val="32"/>
          <w:lang w:val="en-US" w:eastAsia="zh-CN"/>
        </w:rPr>
        <w:t>2024年公共安全支出增加388.17万元</w:t>
      </w:r>
      <w:r>
        <w:rPr>
          <w:rFonts w:hint="eastAsia" w:ascii="仿宋_GB2312" w:hAnsi="ˎ̥" w:eastAsia="仿宋_GB2312"/>
          <w:color w:val="0000FF"/>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0000FF"/>
          <w:sz w:val="32"/>
          <w:szCs w:val="32"/>
          <w:lang w:val="en-US" w:eastAsia="zh-CN"/>
        </w:rPr>
        <w:t>2.1</w:t>
      </w:r>
      <w:r>
        <w:rPr>
          <w:rFonts w:hint="eastAsia" w:ascii="仿宋_GB2312" w:hAnsi="ˎ̥" w:eastAsia="仿宋_GB2312"/>
          <w:sz w:val="32"/>
          <w:szCs w:val="32"/>
        </w:rPr>
        <w:t>万元，下降</w:t>
      </w:r>
      <w:r>
        <w:rPr>
          <w:rFonts w:hint="eastAsia" w:ascii="仿宋_GB2312" w:hAnsi="ˎ̥" w:eastAsia="仿宋_GB2312"/>
          <w:color w:val="0000FF"/>
          <w:sz w:val="32"/>
          <w:szCs w:val="32"/>
          <w:lang w:val="en-US" w:eastAsia="zh-CN"/>
        </w:rPr>
        <w:t>100</w:t>
      </w:r>
      <w:r>
        <w:rPr>
          <w:rFonts w:hint="eastAsia" w:ascii="仿宋_GB2312" w:hAnsi="ˎ̥" w:eastAsia="仿宋_GB2312"/>
          <w:color w:val="0000FF"/>
          <w:sz w:val="32"/>
          <w:szCs w:val="32"/>
        </w:rPr>
        <w:t>%，主要原因是</w:t>
      </w:r>
      <w:r>
        <w:rPr>
          <w:rFonts w:hint="eastAsia" w:ascii="仿宋_GB2312" w:hAnsi="ˎ̥" w:eastAsia="仿宋_GB2312"/>
          <w:color w:val="0000FF"/>
          <w:sz w:val="32"/>
          <w:szCs w:val="32"/>
          <w:lang w:val="en-US" w:eastAsia="zh-CN"/>
        </w:rPr>
        <w:t>2024年公共安全支出增加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0000FF"/>
          <w:sz w:val="32"/>
          <w:szCs w:val="32"/>
          <w:lang w:val="en-US"/>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1" w:name="_Toc13694_WPSOffice_Level2"/>
      <w:bookmarkStart w:id="82" w:name="_Toc17398_WPSOffice_Level2"/>
      <w:bookmarkStart w:id="83" w:name="_Toc21737_WPSOffice_Level2"/>
      <w:bookmarkStart w:id="84" w:name="_Toc19665_WPSOffice_Level2"/>
      <w:bookmarkStart w:id="85" w:name="_Toc23005_WPSOffice_Level2"/>
      <w:bookmarkStart w:id="86" w:name="_Toc9989_WPSOffice_Level2"/>
      <w:r>
        <w:rPr>
          <w:rFonts w:hint="eastAsia" w:ascii="楷体" w:hAnsi="楷体" w:eastAsia="楷体" w:cs="楷体"/>
          <w:sz w:val="32"/>
          <w:szCs w:val="32"/>
        </w:rPr>
        <w:t>（一）一般公共预算财政拨款支出决算总体情况</w:t>
      </w:r>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color w:val="0000FF"/>
          <w:sz w:val="32"/>
          <w:szCs w:val="32"/>
          <w:lang w:val="en-US" w:eastAsia="zh-CN"/>
        </w:rPr>
        <w:t>366.92</w:t>
      </w:r>
      <w:r>
        <w:rPr>
          <w:rFonts w:hint="eastAsia" w:ascii="仿宋_GB2312" w:hAnsi="ˎ̥" w:eastAsia="仿宋_GB2312"/>
          <w:sz w:val="32"/>
          <w:szCs w:val="32"/>
        </w:rPr>
        <w:t>万元，增长</w:t>
      </w:r>
      <w:r>
        <w:rPr>
          <w:rFonts w:hint="eastAsia" w:ascii="仿宋_GB2312" w:hAnsi="ˎ̥" w:eastAsia="仿宋_GB2312"/>
          <w:color w:val="0000FF"/>
          <w:sz w:val="32"/>
          <w:szCs w:val="32"/>
          <w:lang w:val="en-US" w:eastAsia="zh-CN"/>
        </w:rPr>
        <w:t>59.44</w:t>
      </w:r>
      <w:r>
        <w:rPr>
          <w:rFonts w:hint="eastAsia" w:ascii="仿宋_GB2312" w:hAnsi="ˎ̥" w:eastAsia="仿宋_GB2312"/>
          <w:color w:val="0000FF"/>
          <w:sz w:val="32"/>
          <w:szCs w:val="32"/>
        </w:rPr>
        <w:t>%</w:t>
      </w:r>
      <w:r>
        <w:rPr>
          <w:rFonts w:hint="eastAsia" w:ascii="仿宋_GB2312" w:hAnsi="ˎ̥" w:eastAsia="仿宋_GB2312"/>
          <w:sz w:val="32"/>
          <w:szCs w:val="32"/>
        </w:rPr>
        <w:t>，主要原因是</w:t>
      </w:r>
      <w:r>
        <w:rPr>
          <w:rFonts w:hint="eastAsia" w:ascii="仿宋_GB2312" w:hAnsi="ˎ̥" w:eastAsia="仿宋_GB2312"/>
          <w:color w:val="0000FF"/>
          <w:sz w:val="32"/>
          <w:szCs w:val="32"/>
          <w:lang w:val="en-US" w:eastAsia="zh-CN"/>
        </w:rPr>
        <w:t>2024年公共安全支出增加388.17万元</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7" w:name="_Toc27767_WPSOffice_Level2"/>
      <w:bookmarkStart w:id="88" w:name="_Toc2711_WPSOffice_Level2"/>
      <w:bookmarkStart w:id="89" w:name="_Toc18793_WPSOffice_Level2"/>
      <w:bookmarkStart w:id="90" w:name="_Toc19535_WPSOffice_Level2"/>
      <w:bookmarkStart w:id="91" w:name="_Toc23864_WPSOffice_Level2"/>
      <w:bookmarkStart w:id="92" w:name="_Toc19075_WPSOffice_Level2"/>
      <w:r>
        <w:rPr>
          <w:rFonts w:hint="eastAsia" w:ascii="楷体" w:hAnsi="楷体" w:eastAsia="楷体" w:cs="楷体"/>
          <w:sz w:val="32"/>
          <w:szCs w:val="32"/>
        </w:rPr>
        <w:t>（二）一般公共预算财政拨款支出决算结构情况</w:t>
      </w:r>
      <w:bookmarkEnd w:id="87"/>
      <w:bookmarkEnd w:id="88"/>
      <w:bookmarkEnd w:id="89"/>
      <w:bookmarkEnd w:id="90"/>
      <w:bookmarkEnd w:id="91"/>
      <w:bookmarkEnd w:id="92"/>
    </w:p>
    <w:p>
      <w:pPr>
        <w:keepNext w:val="0"/>
        <w:keepLines w:val="0"/>
        <w:widowControl/>
        <w:suppressLineNumbers w:val="0"/>
        <w:jc w:val="left"/>
        <w:rPr>
          <w:rFonts w:hint="default" w:ascii="仿宋_GB2312" w:hAnsi="ˎ̥" w:eastAsia="仿宋_GB2312"/>
          <w:b/>
          <w:color w:val="0000FF"/>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 xml:space="preserve">43.73 </w:t>
      </w:r>
      <w:r>
        <w:rPr>
          <w:rFonts w:hint="eastAsia" w:ascii="仿宋_GB2312" w:hAnsi="ˎ̥" w:eastAsia="仿宋_GB2312"/>
          <w:sz w:val="32"/>
          <w:szCs w:val="32"/>
        </w:rPr>
        <w:t>万元，占</w:t>
      </w:r>
      <w:r>
        <w:rPr>
          <w:rFonts w:hint="eastAsia" w:ascii="仿宋_GB2312" w:hAnsi="ˎ̥" w:eastAsia="仿宋_GB2312"/>
          <w:color w:val="0000FF"/>
          <w:sz w:val="32"/>
          <w:szCs w:val="32"/>
          <w:lang w:val="en-US" w:eastAsia="zh-CN"/>
        </w:rPr>
        <w:t>4.44</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37.09</w:t>
      </w:r>
      <w:r>
        <w:rPr>
          <w:rFonts w:hint="eastAsia" w:ascii="仿宋_GB2312" w:hAnsi="ˎ̥" w:eastAsia="仿宋_GB2312"/>
          <w:sz w:val="32"/>
          <w:szCs w:val="32"/>
        </w:rPr>
        <w:t>万元，</w:t>
      </w:r>
      <w:r>
        <w:rPr>
          <w:rFonts w:hint="eastAsia" w:ascii="仿宋_GB2312" w:hAnsi="ˎ̥" w:eastAsia="仿宋_GB2312"/>
          <w:b/>
          <w:sz w:val="32"/>
          <w:szCs w:val="32"/>
        </w:rPr>
        <w:t>占</w:t>
      </w:r>
      <w:r>
        <w:rPr>
          <w:rFonts w:hint="eastAsia" w:ascii="仿宋_GB2312" w:hAnsi="ˎ̥" w:eastAsia="仿宋_GB2312"/>
          <w:b/>
          <w:color w:val="0000FF"/>
          <w:sz w:val="32"/>
          <w:szCs w:val="32"/>
          <w:lang w:val="en-US" w:eastAsia="zh-CN"/>
        </w:rPr>
        <w:t>3.77</w:t>
      </w:r>
      <w:r>
        <w:rPr>
          <w:rFonts w:hint="eastAsia" w:ascii="仿宋_GB2312" w:hAnsi="ˎ̥" w:eastAsia="仿宋_GB2312"/>
          <w:b/>
          <w:color w:val="0000FF"/>
          <w:sz w:val="32"/>
          <w:szCs w:val="32"/>
        </w:rPr>
        <w:t>%</w:t>
      </w:r>
      <w:r>
        <w:rPr>
          <w:rFonts w:hint="eastAsia" w:ascii="仿宋_GB2312" w:hAnsi="ˎ̥" w:eastAsia="仿宋_GB2312"/>
          <w:b/>
          <w:sz w:val="32"/>
          <w:szCs w:val="32"/>
        </w:rPr>
        <w:t>；</w:t>
      </w:r>
      <w:r>
        <w:rPr>
          <w:rFonts w:hint="eastAsia" w:ascii="仿宋_GB2312" w:hAnsi="ˎ̥" w:eastAsia="仿宋_GB2312"/>
          <w:b/>
          <w:color w:val="0000FF"/>
          <w:sz w:val="32"/>
          <w:szCs w:val="32"/>
          <w:lang w:val="en-US" w:eastAsia="zh-CN"/>
        </w:rPr>
        <w:t>公共安全（类)支出</w:t>
      </w:r>
      <w:r>
        <w:rPr>
          <w:rFonts w:hint="eastAsia" w:ascii="仿宋_GB2312" w:hAnsi="ˎ̥" w:eastAsia="仿宋_GB2312"/>
          <w:b/>
          <w:color w:val="0000FF"/>
          <w:sz w:val="32"/>
          <w:szCs w:val="32"/>
          <w:lang w:val="en-US" w:eastAsia="zh-CN"/>
        </w:rPr>
        <w:t>877.72万元 ，占89.18%；卫生健康（类)支出25.72万元，占2.61%。</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3" w:name="_Toc25136_WPSOffice_Level2"/>
      <w:bookmarkStart w:id="94" w:name="_Toc29364_WPSOffice_Level2"/>
      <w:bookmarkStart w:id="95" w:name="_Toc15415_WPSOffice_Level2"/>
      <w:bookmarkStart w:id="96" w:name="_Toc21701_WPSOffice_Level2"/>
      <w:bookmarkStart w:id="97" w:name="_Toc22318_WPSOffice_Level2"/>
      <w:bookmarkStart w:id="98" w:name="_Toc9502_WPSOffice_Level2"/>
      <w:r>
        <w:rPr>
          <w:rFonts w:hint="eastAsia" w:ascii="楷体" w:hAnsi="楷体" w:eastAsia="楷体" w:cs="楷体"/>
          <w:sz w:val="32"/>
          <w:szCs w:val="32"/>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0000FF"/>
          <w:sz w:val="32"/>
          <w:szCs w:val="32"/>
          <w:lang w:val="en-US" w:eastAsia="zh-CN"/>
        </w:rPr>
        <w:t>984.25</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984.25</w:t>
      </w:r>
      <w:r>
        <w:rPr>
          <w:rFonts w:hint="eastAsia" w:ascii="仿宋_GB2312" w:hAnsi="ˎ̥" w:eastAsia="仿宋_GB2312"/>
          <w:sz w:val="32"/>
          <w:szCs w:val="32"/>
        </w:rPr>
        <w:t>万元，完成年初预算的</w:t>
      </w:r>
      <w:r>
        <w:rPr>
          <w:rFonts w:hint="eastAsia" w:ascii="仿宋_GB2312" w:hAnsi="ˎ̥" w:eastAsia="仿宋_GB2312"/>
          <w:color w:val="0000FF"/>
          <w:sz w:val="32"/>
          <w:szCs w:val="32"/>
          <w:lang w:val="en-US" w:eastAsia="zh-CN"/>
        </w:rPr>
        <w:t>100</w:t>
      </w:r>
      <w:r>
        <w:rPr>
          <w:rFonts w:hint="eastAsia" w:ascii="仿宋_GB2312" w:hAnsi="ˎ̥" w:eastAsia="仿宋_GB2312"/>
          <w:color w:val="0000FF"/>
          <w:sz w:val="32"/>
          <w:szCs w:val="32"/>
        </w:rPr>
        <w:t>%</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w:t>
      </w:r>
      <w:r>
        <w:rPr>
          <w:rFonts w:hint="eastAsia" w:ascii="仿宋_GB2312" w:hAnsi="ˎ̥" w:eastAsia="仿宋_GB2312"/>
          <w:b/>
          <w:color w:val="0000FF"/>
          <w:sz w:val="32"/>
          <w:szCs w:val="32"/>
        </w:rPr>
        <w:t>行政运行（项）</w:t>
      </w:r>
      <w:r>
        <w:rPr>
          <w:rFonts w:hint="eastAsia" w:ascii="仿宋_GB2312" w:hAnsi="ˎ̥" w:eastAsia="仿宋_GB2312"/>
          <w:b/>
          <w:sz w:val="32"/>
          <w:szCs w:val="32"/>
        </w:rPr>
        <w:t>。</w:t>
      </w:r>
    </w:p>
    <w:p>
      <w:pPr>
        <w:keepNext w:val="0"/>
        <w:keepLines w:val="0"/>
        <w:widowControl/>
        <w:suppressLineNumbers w:val="0"/>
        <w:jc w:val="left"/>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宋体" w:hAnsi="宋体" w:eastAsia="宋体" w:cs="宋体"/>
          <w:color w:val="0000FF"/>
          <w:kern w:val="0"/>
          <w:sz w:val="32"/>
          <w:szCs w:val="32"/>
          <w:lang w:val="en-US" w:eastAsia="zh-CN" w:bidi="ar"/>
        </w:rPr>
        <w:t>410.87</w:t>
      </w:r>
      <w:r>
        <w:rPr>
          <w:rFonts w:hint="eastAsia" w:ascii="仿宋_GB2312" w:hAnsi="ˎ̥" w:eastAsia="仿宋_GB2312"/>
          <w:sz w:val="32"/>
          <w:szCs w:val="32"/>
        </w:rPr>
        <w:t>万元，支出决算为</w:t>
      </w:r>
      <w:r>
        <w:rPr>
          <w:rFonts w:hint="eastAsia" w:ascii="宋体" w:hAnsi="宋体" w:eastAsia="宋体" w:cs="宋体"/>
          <w:color w:val="0000FF"/>
          <w:kern w:val="0"/>
          <w:sz w:val="32"/>
          <w:szCs w:val="32"/>
          <w:lang w:val="en-US" w:eastAsia="zh-CN" w:bidi="ar"/>
        </w:rPr>
        <w:t>410.87</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%。决算数大于（小于）预算数的主要原因：一是……；二是……。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496.97</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469.37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27.60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numPr>
          <w:ilvl w:val="0"/>
          <w:numId w:val="2"/>
        </w:numPr>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政府性基金预算财政拨款支出决算情况说明</w:t>
      </w:r>
    </w:p>
    <w:p>
      <w:pPr>
        <w:keepNext w:val="0"/>
        <w:keepLines w:val="0"/>
        <w:pageBreakBefore w:val="0"/>
        <w:widowControl w:val="0"/>
        <w:numPr>
          <w:numId w:val="0"/>
        </w:numPr>
        <w:tabs>
          <w:tab w:val="center" w:pos="4473"/>
        </w:tabs>
        <w:kinsoku/>
        <w:wordWrap/>
        <w:overflowPunct/>
        <w:topLinePunct w:val="0"/>
        <w:autoSpaceDE/>
        <w:autoSpaceDN/>
        <w:bidi w:val="0"/>
        <w:adjustRightInd/>
        <w:snapToGrid/>
        <w:spacing w:line="578" w:lineRule="exact"/>
        <w:textAlignment w:val="auto"/>
        <w:rPr>
          <w:rFonts w:hint="eastAsia" w:ascii="黑体" w:hAnsi="黑体" w:eastAsia="黑体" w:cs="黑体"/>
          <w:bCs/>
          <w:sz w:val="32"/>
          <w:szCs w:val="32"/>
          <w:lang w:eastAsia="zh-CN"/>
        </w:rPr>
      </w:pPr>
      <w:r>
        <w:rPr>
          <w:rFonts w:hint="eastAsia" w:ascii="方正仿宋简体" w:hAnsi="方正仿宋简体" w:eastAsia="方正仿宋简体" w:cs="方正仿宋简体"/>
          <w:bCs/>
          <w:sz w:val="32"/>
          <w:szCs w:val="32"/>
          <w:lang w:eastAsia="zh-CN"/>
        </w:rPr>
        <w:t>本单位未涉及政府性基金预算</w:t>
      </w:r>
      <w:r>
        <w:rPr>
          <w:rFonts w:hint="eastAsia" w:ascii="黑体" w:hAnsi="黑体" w:eastAsia="黑体" w:cs="黑体"/>
          <w:bCs/>
          <w:sz w:val="32"/>
          <w:szCs w:val="32"/>
          <w:lang w:eastAsia="zh-CN"/>
        </w:rPr>
        <w:t>。</w:t>
      </w:r>
    </w:p>
    <w:p>
      <w:pPr>
        <w:keepNext w:val="0"/>
        <w:keepLines w:val="0"/>
        <w:pageBreakBefore w:val="0"/>
        <w:widowControl w:val="0"/>
        <w:numPr>
          <w:ilvl w:val="0"/>
          <w:numId w:val="2"/>
        </w:numPr>
        <w:tabs>
          <w:tab w:val="center" w:pos="4473"/>
        </w:tabs>
        <w:kinsoku/>
        <w:wordWrap/>
        <w:overflowPunct/>
        <w:topLinePunct w:val="0"/>
        <w:autoSpaceDE/>
        <w:autoSpaceDN/>
        <w:bidi w:val="0"/>
        <w:adjustRightInd/>
        <w:snapToGrid/>
        <w:spacing w:line="578" w:lineRule="exact"/>
        <w:ind w:left="0" w:leftChars="0"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国有资本经营预算财政拨款支出决算情况说明</w:t>
      </w:r>
    </w:p>
    <w:p>
      <w:pPr>
        <w:keepNext w:val="0"/>
        <w:keepLines w:val="0"/>
        <w:pageBreakBefore w:val="0"/>
        <w:widowControl w:val="0"/>
        <w:numPr>
          <w:ilvl w:val="0"/>
          <w:numId w:val="0"/>
        </w:numPr>
        <w:tabs>
          <w:tab w:val="center" w:pos="4473"/>
        </w:tabs>
        <w:kinsoku/>
        <w:wordWrap/>
        <w:overflowPunct/>
        <w:topLinePunct w:val="0"/>
        <w:autoSpaceDE/>
        <w:autoSpaceDN/>
        <w:bidi w:val="0"/>
        <w:adjustRightInd/>
        <w:snapToGrid/>
        <w:spacing w:line="578" w:lineRule="exact"/>
        <w:textAlignment w:val="auto"/>
        <w:rPr>
          <w:rFonts w:hint="eastAsia" w:ascii="黑体" w:hAnsi="黑体" w:eastAsia="黑体" w:cs="黑体"/>
          <w:bCs/>
          <w:sz w:val="32"/>
          <w:szCs w:val="32"/>
        </w:rPr>
      </w:pPr>
      <w:r>
        <w:rPr>
          <w:rFonts w:hint="eastAsia" w:ascii="方正仿宋简体" w:hAnsi="方正仿宋简体" w:eastAsia="方正仿宋简体" w:cs="方正仿宋简体"/>
          <w:bCs/>
          <w:sz w:val="32"/>
          <w:szCs w:val="32"/>
          <w:lang w:eastAsia="zh-CN"/>
        </w:rPr>
        <w:t>本单位未涉及国有资本经营预算</w:t>
      </w:r>
      <w:r>
        <w:rPr>
          <w:rFonts w:hint="eastAsia" w:ascii="黑体" w:hAnsi="黑体" w:eastAsia="黑体" w:cs="黑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FF"/>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万元，完成预算的</w:t>
      </w:r>
      <w:r>
        <w:rPr>
          <w:rFonts w:hint="eastAsia" w:ascii="仿宋_GB2312" w:hAnsi="ˎ̥" w:eastAsia="仿宋_GB2312"/>
          <w:color w:val="0000FF"/>
          <w:sz w:val="32"/>
          <w:szCs w:val="32"/>
          <w:lang w:val="en-US" w:eastAsia="zh-CN"/>
        </w:rPr>
        <w:t>100</w:t>
      </w:r>
      <w:r>
        <w:rPr>
          <w:rFonts w:hint="eastAsia" w:ascii="仿宋_GB2312" w:hAnsi="ˎ̥" w:eastAsia="仿宋_GB2312"/>
          <w:sz w:val="32"/>
          <w:szCs w:val="32"/>
        </w:rPr>
        <w:t>%，</w:t>
      </w:r>
      <w:r>
        <w:rPr>
          <w:rFonts w:ascii="仿宋_GB2312" w:hAnsi="ˎ̥" w:eastAsia="仿宋_GB2312"/>
          <w:color w:val="0000FF"/>
          <w:sz w:val="32"/>
          <w:szCs w:val="32"/>
        </w:rPr>
        <w:t>与</w:t>
      </w:r>
      <w:r>
        <w:rPr>
          <w:rFonts w:hint="default" w:ascii="仿宋_GB2312" w:hAnsi="ˎ̥" w:eastAsia="仿宋_GB2312"/>
          <w:color w:val="0000FF"/>
          <w:sz w:val="32"/>
          <w:szCs w:val="32"/>
          <w:lang w:val="en-US"/>
        </w:rPr>
        <w:t>2023</w:t>
      </w:r>
      <w:r>
        <w:rPr>
          <w:rFonts w:hint="eastAsia" w:ascii="仿宋_GB2312" w:hAnsi="ˎ̥" w:eastAsia="仿宋_GB2312"/>
          <w:color w:val="0000FF"/>
          <w:sz w:val="32"/>
          <w:szCs w:val="32"/>
        </w:rPr>
        <w:t>年度</w:t>
      </w:r>
      <w:r>
        <w:rPr>
          <w:rFonts w:ascii="仿宋_GB2312" w:hAnsi="ˎ̥" w:eastAsia="仿宋_GB2312"/>
          <w:color w:val="0000FF"/>
          <w:sz w:val="32"/>
          <w:szCs w:val="32"/>
        </w:rPr>
        <w:t>相比，</w:t>
      </w:r>
      <w:r>
        <w:rPr>
          <w:rFonts w:hint="eastAsia" w:ascii="仿宋_GB2312" w:hAnsi="ˎ̥" w:eastAsia="仿宋_GB2312"/>
          <w:color w:val="0000FF"/>
          <w:sz w:val="32"/>
          <w:szCs w:val="32"/>
        </w:rPr>
        <w:t>“三公”经费支</w:t>
      </w:r>
      <w:r>
        <w:rPr>
          <w:rFonts w:hint="eastAsia" w:ascii="仿宋_GB2312" w:hAnsi="ˎ̥" w:eastAsia="仿宋_GB2312"/>
          <w:color w:val="0000FF"/>
          <w:sz w:val="32"/>
          <w:szCs w:val="32"/>
          <w:lang w:eastAsia="zh-CN"/>
        </w:rPr>
        <w:t>出</w:t>
      </w:r>
      <w:r>
        <w:rPr>
          <w:rFonts w:hint="eastAsia" w:ascii="仿宋_GB2312" w:hAnsi="ˎ̥" w:eastAsia="仿宋_GB2312"/>
          <w:color w:val="0000FF"/>
          <w:sz w:val="32"/>
          <w:szCs w:val="32"/>
        </w:rPr>
        <w:t>减少</w:t>
      </w:r>
      <w:r>
        <w:rPr>
          <w:rFonts w:hint="eastAsia" w:ascii="仿宋_GB2312" w:hAnsi="ˎ̥" w:eastAsia="仿宋_GB2312"/>
          <w:color w:val="0000FF"/>
          <w:sz w:val="32"/>
          <w:szCs w:val="32"/>
          <w:lang w:val="en-US" w:eastAsia="zh-CN"/>
        </w:rPr>
        <w:t>3.77</w:t>
      </w:r>
      <w:r>
        <w:rPr>
          <w:rFonts w:hint="eastAsia" w:ascii="仿宋_GB2312" w:hAnsi="ˎ̥" w:eastAsia="仿宋_GB2312"/>
          <w:color w:val="0000FF"/>
          <w:sz w:val="32"/>
          <w:szCs w:val="32"/>
        </w:rPr>
        <w:t>万元</w:t>
      </w:r>
      <w:r>
        <w:rPr>
          <w:rFonts w:ascii="仿宋_GB2312" w:hAnsi="ˎ̥" w:eastAsia="仿宋_GB2312"/>
          <w:color w:val="0000FF"/>
          <w:sz w:val="32"/>
          <w:szCs w:val="32"/>
        </w:rPr>
        <w:t>，</w:t>
      </w:r>
      <w:r>
        <w:rPr>
          <w:rFonts w:hint="eastAsia" w:ascii="仿宋_GB2312" w:hAnsi="ˎ̥" w:eastAsia="仿宋_GB2312"/>
          <w:color w:val="0000FF"/>
          <w:sz w:val="32"/>
          <w:szCs w:val="32"/>
        </w:rPr>
        <w:t>下降</w:t>
      </w:r>
      <w:r>
        <w:rPr>
          <w:rFonts w:hint="eastAsia" w:ascii="仿宋_GB2312" w:hAnsi="ˎ̥" w:eastAsia="仿宋_GB2312"/>
          <w:color w:val="0000FF"/>
          <w:sz w:val="32"/>
          <w:szCs w:val="32"/>
          <w:lang w:val="en-US" w:eastAsia="zh-CN"/>
        </w:rPr>
        <w:t>55.77</w:t>
      </w:r>
      <w:r>
        <w:rPr>
          <w:rFonts w:hint="eastAsia" w:ascii="仿宋_GB2312" w:hAnsi="ˎ̥" w:eastAsia="仿宋_GB2312"/>
          <w:color w:val="0000FF"/>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2.99</w:t>
      </w:r>
      <w:r>
        <w:rPr>
          <w:rFonts w:hint="eastAsia" w:ascii="仿宋_GB2312" w:hAnsi="ˎ̥" w:eastAsia="仿宋_GB2312"/>
          <w:sz w:val="32"/>
          <w:szCs w:val="32"/>
        </w:rPr>
        <w:t>万元，占</w:t>
      </w:r>
      <w:r>
        <w:rPr>
          <w:rFonts w:hint="eastAsia" w:ascii="仿宋_GB2312" w:hAnsi="ˎ̥" w:eastAsia="仿宋_GB2312"/>
          <w:color w:val="0000FF"/>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w:t>
      </w:r>
      <w:r>
        <w:rPr>
          <w:rFonts w:hint="eastAsia" w:ascii="仿宋_GB2312" w:hAnsi="ˎ̥" w:eastAsia="仿宋_GB2312"/>
          <w:sz w:val="32"/>
          <w:szCs w:val="32"/>
        </w:rPr>
        <w:t>万元，占</w:t>
      </w:r>
      <w:r>
        <w:rPr>
          <w:rFonts w:hint="eastAsia" w:ascii="仿宋_GB2312" w:hAnsi="ˎ̥" w:eastAsia="仿宋_GB2312"/>
          <w:color w:val="0000FF"/>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2.99</w:t>
      </w:r>
      <w:r>
        <w:rPr>
          <w:rFonts w:hint="eastAsia" w:ascii="仿宋_GB2312" w:hAnsi="ˎ̥" w:eastAsia="仿宋_GB2312"/>
          <w:sz w:val="32"/>
          <w:szCs w:val="32"/>
        </w:rPr>
        <w:t>万元，主要用于</w:t>
      </w:r>
      <w:r>
        <w:rPr>
          <w:rFonts w:hint="eastAsia" w:ascii="仿宋_GB2312" w:hAnsi="ˎ̥" w:eastAsia="仿宋_GB2312"/>
          <w:bCs/>
          <w:sz w:val="32"/>
          <w:szCs w:val="32"/>
        </w:rPr>
        <w:t>公务用车</w:t>
      </w:r>
      <w:r>
        <w:rPr>
          <w:rFonts w:hint="eastAsia" w:ascii="仿宋_GB2312" w:hAnsi="ˎ̥" w:eastAsia="仿宋_GB2312"/>
          <w:bCs/>
          <w:sz w:val="32"/>
          <w:szCs w:val="32"/>
          <w:lang w:eastAsia="zh-CN"/>
        </w:rPr>
        <w:t>油料</w:t>
      </w:r>
      <w:r>
        <w:rPr>
          <w:rFonts w:hint="eastAsia" w:ascii="仿宋_GB2312" w:hAnsi="ˎ̥" w:eastAsia="仿宋_GB2312"/>
          <w:bCs/>
          <w:sz w:val="32"/>
          <w:szCs w:val="32"/>
        </w:rPr>
        <w:t>及运行维护费支出</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5" w:name="_GoBack"/>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sz w:val="32"/>
          <w:szCs w:val="32"/>
        </w:rPr>
        <w:t>根据财政预算绩效管理要求，</w:t>
      </w:r>
      <w:r>
        <w:rPr>
          <w:rFonts w:hint="eastAsia" w:ascii="仿宋_GB2312" w:eastAsia="仿宋_GB2312"/>
          <w:color w:val="auto"/>
          <w:sz w:val="32"/>
          <w:szCs w:val="32"/>
          <w:lang w:val="en-US" w:eastAsia="zh-CN"/>
        </w:rPr>
        <w:t>2024年度我单位所有项目进行绩效目标填报，且进行绩效自评工作。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下一步改进措施：一是</w:t>
      </w:r>
      <w:r>
        <w:rPr>
          <w:rFonts w:hint="eastAsia" w:ascii="仿宋_GB2312" w:eastAsia="仿宋_GB2312"/>
          <w:color w:val="auto"/>
          <w:sz w:val="32"/>
          <w:szCs w:val="32"/>
          <w:lang w:val="en-US" w:eastAsia="zh-CN"/>
        </w:rPr>
        <w:t>强化责任意识</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完善工作制度；三是加强业务培训；四是建立预警机制；五是严格考核问责</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bookmarkEnd w:id="105"/>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99" w:name="_Toc8874_WPSOffice_Level1"/>
      <w:bookmarkStart w:id="100" w:name="_Toc11039_WPSOffice_Level1"/>
      <w:bookmarkStart w:id="101" w:name="_Toc8808_WPSOffice_Level1"/>
      <w:bookmarkStart w:id="102" w:name="_Toc17580_WPSOffice_Level1"/>
      <w:bookmarkStart w:id="103" w:name="_Toc4398_WPSOffice_Level1"/>
      <w:bookmarkStart w:id="104"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99"/>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BAD8B7E"/>
    <w:multiLevelType w:val="singleLevel"/>
    <w:tmpl w:val="0BAD8B7E"/>
    <w:lvl w:ilvl="0" w:tentative="0">
      <w:start w:val="7"/>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0YzgzYzYzYjAyMDgzN2YxZTY2OTIzOTA2YTc5N2E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B8778A5"/>
    <w:rsid w:val="6DA45C50"/>
    <w:rsid w:val="6E9A7825"/>
    <w:rsid w:val="6F670F9B"/>
    <w:rsid w:val="737450E0"/>
    <w:rsid w:val="74054476"/>
    <w:rsid w:val="742F38C4"/>
    <w:rsid w:val="74AB66DC"/>
    <w:rsid w:val="74C4154C"/>
    <w:rsid w:val="75956FFF"/>
    <w:rsid w:val="7758138D"/>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7048</Words>
  <Characters>7874</Characters>
  <Lines>67</Lines>
  <Paragraphs>18</Paragraphs>
  <TotalTime>2</TotalTime>
  <ScaleCrop>false</ScaleCrop>
  <LinksUpToDate>false</LinksUpToDate>
  <CharactersWithSpaces>7960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2026-04-23T13:43:47Z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512CA5664EFA49C5B9075D6E4C4CB1EF</vt:lpwstr>
  </property>
  <property fmtid="{D5CDD505-2E9C-101B-9397-08002B2CF9AE}" pid="4" name="KSOTemplateDocerSaveRecord">
    <vt:lpwstr>eyJoZGlkIjoiY2VlZThlZDk5ZTQ4MTFjNGY3MjIxNTdiOWMzZmQwMWMiLCJ1c2VySWQiOiIyMzQ5MTc1OTYifQ==</vt:lpwstr>
  </property>
</Properties>
</file>