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申扎县宣传部机关2024年度部门决算公开</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22941_WPSOffice_Level1"/>
      <w:bookmarkStart w:id="4" w:name="_Toc32433_WPSOffice_Level1"/>
      <w:bookmarkStart w:id="5" w:name="_Toc1704_WPSOffice_Level1"/>
      <w:bookmarkStart w:id="6" w:name="_Toc10049_WPSOffice_Level1"/>
      <w:bookmarkStart w:id="7" w:name="_Toc10720_WPSOffice_Level1"/>
      <w:bookmarkStart w:id="8" w:name="_Toc24238_WPSOffice_Level2"/>
      <w:bookmarkStart w:id="9" w:name="_Toc26580_WPSOffice_Level2"/>
      <w:bookmarkStart w:id="10" w:name="_Toc14159_WPSOffice_Level2"/>
      <w:bookmarkStart w:id="11" w:name="_Toc20205_WPSOffice_Level2"/>
      <w:bookmarkStart w:id="12" w:name="_Toc20274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Times New Roman" w:hAnsi="Times New Roman" w:eastAsia="仿宋" w:cs="仿宋"/>
          <w:sz w:val="32"/>
          <w:szCs w:val="32"/>
        </w:rPr>
      </w:pPr>
      <w:r>
        <w:rPr>
          <w:rFonts w:hint="eastAsia" w:ascii="Times New Roman" w:hAnsi="Times New Roman" w:eastAsia="仿宋" w:cs="仿宋"/>
          <w:sz w:val="32"/>
          <w:szCs w:val="32"/>
        </w:rPr>
        <w:t>主要职能。负责申扎县宣传思想文化工作推进协调铸牢中华民族共同体意识和民族团结宣传教育、氛围营造、爱国主义教育及基地建设、负责全市理论研究、理论学习、理论宣负责推进申扎县宣传思想文化工作、新闻和对外宣传工作、协调申扎县网络外宣有关工作</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以及</w:t>
      </w:r>
      <w:r>
        <w:rPr>
          <w:rFonts w:hint="eastAsia" w:ascii="Times New Roman" w:hAnsi="Times New Roman" w:eastAsia="仿宋" w:cs="仿宋"/>
          <w:sz w:val="32"/>
          <w:szCs w:val="32"/>
        </w:rPr>
        <w:t>统筹指导协调全县理论研究、理论学习、理论宣传工作即意识形态工作责任制落实情况</w:t>
      </w:r>
      <w:r>
        <w:rPr>
          <w:rFonts w:hint="eastAsia" w:ascii="Times New Roman" w:hAnsi="Times New Roman" w:eastAsia="仿宋" w:cs="仿宋"/>
          <w:sz w:val="32"/>
          <w:szCs w:val="32"/>
          <w:lang w:val="en-US" w:eastAsia="zh-CN"/>
        </w:rPr>
        <w:t>和</w:t>
      </w:r>
      <w:r>
        <w:rPr>
          <w:rFonts w:hint="eastAsia" w:ascii="Times New Roman" w:hAnsi="Times New Roman" w:eastAsia="仿宋" w:cs="仿宋"/>
          <w:sz w:val="32"/>
          <w:szCs w:val="32"/>
        </w:rPr>
        <w:t>协调精神文明创建、新闻出版、舆论信息等</w:t>
      </w:r>
      <w:r>
        <w:rPr>
          <w:rFonts w:hint="eastAsia" w:ascii="Times New Roman" w:hAnsi="Times New Roman" w:eastAsia="仿宋" w:cs="仿宋"/>
          <w:sz w:val="32"/>
          <w:szCs w:val="32"/>
          <w:lang w:val="en-US" w:eastAsia="zh-CN"/>
        </w:rPr>
        <w:t>工作。</w:t>
      </w:r>
    </w:p>
    <w:p>
      <w:pPr>
        <w:spacing w:line="578" w:lineRule="exact"/>
        <w:ind w:firstLine="640" w:firstLineChars="200"/>
        <w:rPr>
          <w:rFonts w:hint="eastAsia" w:ascii="黑体" w:hAnsi="黑体" w:eastAsia="黑体" w:cs="黑体"/>
          <w:sz w:val="32"/>
          <w:szCs w:val="32"/>
        </w:rPr>
      </w:pPr>
      <w:bookmarkStart w:id="14" w:name="_Toc17796_WPSOffice_Level2"/>
      <w:bookmarkStart w:id="15" w:name="_Toc24059_WPSOffice_Level2"/>
      <w:bookmarkStart w:id="16" w:name="_Toc6572_WPSOffice_Level2"/>
      <w:bookmarkStart w:id="17" w:name="_Toc4833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宣传部</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w:t>
      </w:r>
      <w:r>
        <w:rPr>
          <w:rFonts w:hint="eastAsia" w:ascii="Times New Roman" w:hAnsi="Times New Roman" w:eastAsia="仿宋" w:cs="仿宋"/>
          <w:sz w:val="32"/>
          <w:szCs w:val="32"/>
        </w:rPr>
        <w:t>加挂县广播电视局、县新闻出版局、县新闻办公室牌子、归口领导县文化和旅游局、县融媒体中心、县文化发展事业中心。县委网络安全和信息化委员会办公室设在县委宣传部</w:t>
      </w:r>
      <w:r>
        <w:rPr>
          <w:rFonts w:hint="eastAsia" w:eastAsia="仿宋" w:cs="仿宋"/>
          <w:sz w:val="32"/>
          <w:szCs w:val="32"/>
          <w:lang w:eastAsia="zh-CN"/>
        </w:rPr>
        <w:t>。</w:t>
      </w:r>
      <w:r>
        <w:rPr>
          <w:rFonts w:hint="eastAsia" w:ascii="仿宋_GB2312" w:hAnsi="ˎ̥" w:eastAsia="仿宋_GB2312"/>
          <w:sz w:val="32"/>
          <w:szCs w:val="32"/>
        </w:rPr>
        <w:t>（注：如果是基层预算单位，没有下属单位的，可只说明单位内设机构即可。）</w:t>
      </w:r>
    </w:p>
    <w:p>
      <w:pPr>
        <w:spacing w:line="578" w:lineRule="exact"/>
        <w:jc w:val="both"/>
        <w:rPr>
          <w:rFonts w:hint="eastAsia" w:ascii="黑体" w:hAnsi="ˎ̥" w:eastAsia="黑体"/>
          <w:sz w:val="32"/>
          <w:szCs w:val="32"/>
        </w:rPr>
      </w:pPr>
      <w:bookmarkStart w:id="19" w:name="_Toc15521_WPSOffice_Level1"/>
      <w:bookmarkStart w:id="20" w:name="_Toc28253_WPSOffice_Level1"/>
      <w:bookmarkStart w:id="21" w:name="_Toc30451_WPSOffice_Level1"/>
      <w:bookmarkStart w:id="22" w:name="_Toc6234_WPSOffice_Level1"/>
      <w:bookmarkStart w:id="23" w:name="_Toc8164_WPSOffice_Level1"/>
      <w:bookmarkStart w:id="24" w:name="_Toc30690_WPSOffice_Level1"/>
      <w:bookmarkStart w:id="25" w:name="_Toc32695_WPSOffice_Level2"/>
      <w:bookmarkStart w:id="26" w:name="_Toc8867_WPSOffice_Level2"/>
      <w:bookmarkStart w:id="27" w:name="_Toc6211_WPSOffice_Level2"/>
      <w:bookmarkStart w:id="28" w:name="_Toc32472_WPSOffice_Level2"/>
      <w:bookmarkStart w:id="29" w:name="_Toc4029_WPSOffice_Level2"/>
      <w:bookmarkStart w:id="30" w:name="_Toc11518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19"/>
      <w:bookmarkEnd w:id="20"/>
      <w:bookmarkEnd w:id="21"/>
      <w:bookmarkEnd w:id="22"/>
      <w:bookmarkEnd w:id="23"/>
      <w:bookmarkEnd w:id="24"/>
    </w:p>
    <w:p>
      <w:pPr>
        <w:spacing w:line="578" w:lineRule="exact"/>
        <w:jc w:val="center"/>
        <w:rPr>
          <w:rFonts w:hint="eastAsia" w:ascii="黑体" w:hAnsi="ˎ̥" w:eastAsia="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25608_WPSOffice_Level2"/>
      <w:bookmarkStart w:id="32" w:name="_Toc28622_WPSOffice_Level2"/>
      <w:bookmarkStart w:id="33" w:name="_Toc23139_WPSOffice_Level2"/>
      <w:bookmarkStart w:id="34" w:name="_Toc14349_WPSOffice_Level2"/>
      <w:bookmarkStart w:id="35" w:name="_Toc30334_WPSOffice_Level2"/>
      <w:bookmarkStart w:id="36" w:name="_Toc26621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14658_WPSOffice_Level2"/>
      <w:bookmarkStart w:id="39" w:name="_Toc5489_WPSOffice_Level2"/>
      <w:bookmarkStart w:id="40" w:name="_Toc17858_WPSOffice_Level2"/>
      <w:bookmarkStart w:id="41" w:name="_Toc17626_WPSOffice_Level2"/>
      <w:bookmarkStart w:id="42"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493_WPSOffice_Level2"/>
      <w:bookmarkStart w:id="44" w:name="_Toc7988_WPSOffice_Level2"/>
      <w:bookmarkStart w:id="45" w:name="_Toc13701_WPSOffice_Level2"/>
      <w:bookmarkStart w:id="46" w:name="_Toc21415_WPSOffice_Level2"/>
      <w:bookmarkStart w:id="47" w:name="_Toc23591_WPSOffice_Level2"/>
      <w:bookmarkStart w:id="48" w:name="_Toc4265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7879_WPSOffice_Level2"/>
      <w:bookmarkStart w:id="50" w:name="_Toc23829_WPSOffice_Level2"/>
      <w:bookmarkStart w:id="51" w:name="_Toc25166_WPSOffice_Level2"/>
      <w:bookmarkStart w:id="52" w:name="_Toc22783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283_WPSOffice_Level2"/>
      <w:bookmarkStart w:id="56" w:name="_Toc25362_WPSOffice_Level2"/>
      <w:bookmarkStart w:id="57" w:name="_Toc2632_WPSOffice_Level2"/>
      <w:bookmarkStart w:id="58" w:name="_Toc17833_WPSOffice_Level2"/>
      <w:bookmarkStart w:id="59" w:name="_Toc5343_WPSOffice_Level2"/>
      <w:bookmarkStart w:id="60"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3345_WPSOffice_Level2"/>
      <w:bookmarkStart w:id="62" w:name="_Toc6020_WPSOffice_Level2"/>
      <w:bookmarkStart w:id="63" w:name="_Toc11799_WPSOffice_Level2"/>
      <w:bookmarkStart w:id="64" w:name="_Toc21310_WPSOffice_Level2"/>
      <w:bookmarkStart w:id="65" w:name="_Toc5594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9377_WPSOffice_Level2"/>
      <w:bookmarkStart w:id="68" w:name="_Toc29886_WPSOffice_Level2"/>
      <w:bookmarkStart w:id="69" w:name="_Toc19961_WPSOffice_Level2"/>
      <w:bookmarkStart w:id="70" w:name="_Toc1820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29683_WPSOffice_Level1"/>
      <w:bookmarkStart w:id="72" w:name="_Toc4402_WPSOffice_Level1"/>
      <w:bookmarkStart w:id="73" w:name="_Toc31264_WPSOffice_Level1"/>
      <w:bookmarkStart w:id="74" w:name="_Toc28629_WPSOffice_Level1"/>
      <w:bookmarkStart w:id="75" w:name="_Toc16686_WPSOffice_Level1"/>
      <w:bookmarkStart w:id="76" w:name="_Toc27590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eastAsia="zh-CN"/>
        </w:rPr>
        <w:t>万元，支出总计</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eastAsia="zh-CN"/>
        </w:rPr>
        <w:t>万元，与</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年度相比，收入、支出总计各增加</w:t>
      </w:r>
      <w:r>
        <w:rPr>
          <w:rFonts w:hint="eastAsia" w:ascii="仿宋_GB2312" w:hAnsi="ˎ̥" w:eastAsia="仿宋_GB2312"/>
          <w:color w:val="FF0000"/>
          <w:sz w:val="32"/>
          <w:szCs w:val="32"/>
          <w:lang w:val="en-US" w:eastAsia="zh-CN"/>
        </w:rPr>
        <w:t>368.93</w:t>
      </w:r>
      <w:r>
        <w:rPr>
          <w:rFonts w:hint="eastAsia" w:ascii="仿宋_GB2312" w:hAnsi="ˎ̥" w:eastAsia="仿宋_GB2312"/>
          <w:sz w:val="32"/>
          <w:szCs w:val="32"/>
          <w:lang w:val="en-US" w:eastAsia="zh-CN"/>
        </w:rPr>
        <w:t>万元，增长</w:t>
      </w:r>
      <w:r>
        <w:rPr>
          <w:rFonts w:hint="eastAsia" w:ascii="仿宋_GB2312" w:hAnsi="ˎ̥" w:eastAsia="仿宋_GB2312"/>
          <w:color w:val="FF0000"/>
          <w:sz w:val="32"/>
          <w:szCs w:val="32"/>
          <w:lang w:val="en-US" w:eastAsia="zh-CN"/>
        </w:rPr>
        <w:t>35.15%</w:t>
      </w:r>
      <w:r>
        <w:rPr>
          <w:rFonts w:hint="eastAsia" w:ascii="仿宋_GB2312" w:hAnsi="ˎ̥" w:eastAsia="仿宋_GB2312"/>
          <w:sz w:val="32"/>
          <w:szCs w:val="32"/>
          <w:lang w:val="en-US" w:eastAsia="zh-CN"/>
        </w:rPr>
        <w:t>。主要原因：因年度项目实施计划优化调整，</w:t>
      </w:r>
      <w:r>
        <w:rPr>
          <w:rFonts w:hint="eastAsia" w:ascii="仿宋_GB2312" w:hAnsi="ˎ̥" w:eastAsia="仿宋_GB2312"/>
          <w:sz w:val="32"/>
          <w:szCs w:val="32"/>
          <w:lang w:val="en-US" w:eastAsia="zh-CN"/>
        </w:rPr>
        <w:t>2024年新增推进爱国主义教育基地建设、沙盘制作、县级首部微短剧《是旷野啊》等重点项目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年初结转结余</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年度决算数减少</w:t>
      </w:r>
      <w:r>
        <w:rPr>
          <w:rFonts w:hint="eastAsia" w:ascii="仿宋_GB2312" w:hAnsi="ˎ̥" w:eastAsia="仿宋_GB2312"/>
          <w:color w:val="FF0000"/>
          <w:sz w:val="32"/>
          <w:szCs w:val="32"/>
          <w:lang w:val="en-US" w:eastAsia="zh-CN"/>
        </w:rPr>
        <w:t>23.75</w:t>
      </w:r>
      <w:r>
        <w:rPr>
          <w:rFonts w:hint="eastAsia" w:ascii="仿宋_GB2312" w:hAnsi="ˎ̥" w:eastAsia="仿宋_GB2312"/>
          <w:sz w:val="32"/>
          <w:szCs w:val="32"/>
          <w:lang w:val="en-US" w:eastAsia="zh-CN"/>
        </w:rPr>
        <w:t>万元，减少</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lang w:val="en-US" w:eastAsia="zh-CN"/>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（二</w:t>
      </w:r>
      <w:r>
        <w:rPr>
          <w:rFonts w:hint="default" w:ascii="仿宋_GB2312" w:hAnsi="ˎ̥" w:eastAsia="仿宋_GB2312"/>
          <w:sz w:val="32"/>
          <w:szCs w:val="32"/>
          <w:lang w:val="en-US" w:eastAsia="zh-CN"/>
        </w:rPr>
        <w:t>）</w:t>
      </w:r>
      <w:r>
        <w:rPr>
          <w:rFonts w:hint="eastAsia" w:ascii="仿宋_GB2312" w:hAnsi="ˎ̥" w:eastAsia="仿宋_GB2312"/>
          <w:sz w:val="32"/>
          <w:szCs w:val="32"/>
          <w:lang w:val="en-US" w:eastAsia="zh-CN"/>
        </w:rPr>
        <w:t>支出</w:t>
      </w:r>
      <w:r>
        <w:rPr>
          <w:rFonts w:hint="default" w:ascii="仿宋_GB2312" w:hAnsi="ˎ̥" w:eastAsia="仿宋_GB2312"/>
          <w:sz w:val="32"/>
          <w:szCs w:val="32"/>
          <w:lang w:val="en-US" w:eastAsia="zh-CN"/>
        </w:rPr>
        <w:t>总计</w:t>
      </w:r>
      <w:r>
        <w:rPr>
          <w:rFonts w:hint="eastAsia" w:ascii="仿宋_GB2312" w:hAnsi="ˎ̥" w:eastAsia="仿宋_GB2312"/>
          <w:sz w:val="32"/>
          <w:szCs w:val="32"/>
          <w:lang w:val="en-US" w:eastAsia="zh-CN"/>
        </w:rPr>
        <w:t>主要</w:t>
      </w:r>
      <w:r>
        <w:rPr>
          <w:rFonts w:hint="default" w:ascii="仿宋_GB2312" w:hAnsi="ˎ̥" w:eastAsia="仿宋_GB2312"/>
          <w:sz w:val="32"/>
          <w:szCs w:val="32"/>
          <w:lang w:val="en-US" w:eastAsia="zh-CN"/>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本年支出</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结余分配</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w:t>
      </w:r>
      <w:r>
        <w:rPr>
          <w:rFonts w:hint="eastAsia" w:ascii="仿宋_GB2312" w:hAnsi="ˎ̥" w:eastAsia="仿宋_GB2312"/>
          <w:sz w:val="32"/>
          <w:szCs w:val="32"/>
        </w:rPr>
        <w:t>年末结转结</w:t>
      </w:r>
      <w:r>
        <w:rPr>
          <w:rFonts w:hint="eastAsia" w:ascii="仿宋_GB2312" w:hAnsi="ˎ̥" w:eastAsia="仿宋_GB2312"/>
          <w:sz w:val="32"/>
          <w:szCs w:val="32"/>
          <w:lang w:val="en-US" w:eastAsia="zh-CN"/>
        </w:rPr>
        <w:t>余</w:t>
      </w:r>
      <w:r>
        <w:rPr>
          <w:rFonts w:hint="default"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 xml:space="preserve">   （注：</w:t>
      </w:r>
      <w:r>
        <w:rPr>
          <w:rFonts w:hint="default" w:ascii="仿宋_GB2312" w:hAnsi="ˎ̥" w:eastAsia="仿宋_GB2312"/>
          <w:sz w:val="32"/>
          <w:szCs w:val="32"/>
          <w:lang w:val="en-US" w:eastAsia="zh-CN"/>
        </w:rPr>
        <w:t>2024</w:t>
      </w:r>
      <w:r>
        <w:rPr>
          <w:rFonts w:hint="eastAsia" w:ascii="仿宋_GB2312" w:hAnsi="ˎ̥" w:eastAsia="仿宋_GB2312"/>
          <w:sz w:val="32"/>
          <w:szCs w:val="32"/>
          <w:lang w:val="en-US" w:eastAsia="zh-CN"/>
        </w:rPr>
        <w:t>年度相关决算数据可取自附</w:t>
      </w:r>
      <w:r>
        <w:rPr>
          <w:rFonts w:hint="eastAsia" w:ascii="仿宋_GB2312" w:hAnsi="ˎ̥" w:eastAsia="仿宋_GB2312"/>
          <w:sz w:val="32"/>
          <w:szCs w:val="32"/>
        </w:rPr>
        <w:t>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rPr>
        <w:t>万元，其中：基本支出</w:t>
      </w:r>
      <w:r>
        <w:rPr>
          <w:rFonts w:hint="default" w:ascii="仿宋_GB2312" w:hAnsi="ˎ̥" w:eastAsia="仿宋_GB2312"/>
          <w:color w:val="FF0000"/>
          <w:sz w:val="32"/>
          <w:szCs w:val="32"/>
          <w:lang w:val="en-US" w:eastAsia="zh-CN"/>
        </w:rPr>
        <w:t>527.01</w:t>
      </w:r>
      <w:r>
        <w:rPr>
          <w:rFonts w:hint="eastAsia" w:ascii="仿宋_GB2312" w:hAnsi="ˎ̥" w:eastAsia="仿宋_GB2312"/>
          <w:sz w:val="32"/>
          <w:szCs w:val="32"/>
          <w:lang w:val="en-US"/>
        </w:rPr>
        <w:t>万元，占</w:t>
      </w:r>
      <w:r>
        <w:rPr>
          <w:rFonts w:hint="eastAsia" w:ascii="仿宋_GB2312" w:hAnsi="ˎ̥" w:eastAsia="仿宋_GB2312"/>
          <w:color w:val="FF0000"/>
          <w:sz w:val="32"/>
          <w:szCs w:val="32"/>
          <w:lang w:val="en-US" w:eastAsia="zh-CN"/>
        </w:rPr>
        <w:t>50.21%</w:t>
      </w:r>
      <w:r>
        <w:rPr>
          <w:rFonts w:hint="eastAsia" w:ascii="仿宋_GB2312" w:hAnsi="ˎ̥" w:eastAsia="仿宋_GB2312"/>
          <w:sz w:val="32"/>
          <w:szCs w:val="32"/>
          <w:lang w:val="en-US"/>
        </w:rPr>
        <w:t>；项目支出</w:t>
      </w:r>
      <w:r>
        <w:rPr>
          <w:rFonts w:hint="default" w:ascii="仿宋_GB2312" w:hAnsi="ˎ̥" w:eastAsia="仿宋_GB2312"/>
          <w:color w:val="FF0000"/>
          <w:sz w:val="32"/>
          <w:szCs w:val="32"/>
          <w:lang w:val="en-US" w:eastAsia="zh-CN"/>
        </w:rPr>
        <w:t>522.50</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49.97</w:t>
      </w:r>
      <w:r>
        <w:rPr>
          <w:rFonts w:hint="eastAsia" w:ascii="仿宋_GB2312" w:hAnsi="ˎ̥" w:eastAsia="仿宋_GB2312"/>
          <w:sz w:val="32"/>
          <w:szCs w:val="32"/>
          <w:lang w:val="en-US"/>
        </w:rPr>
        <w:t>%</w:t>
      </w:r>
      <w:r>
        <w:rPr>
          <w:rFonts w:hint="eastAsia" w:ascii="仿宋_GB2312" w:hAnsi="ˎ̥" w:eastAsia="仿宋_GB2312"/>
          <w:sz w:val="32"/>
          <w:szCs w:val="32"/>
          <w:lang w:val="en-US" w:eastAsia="zh-CN"/>
        </w:rPr>
        <w:t>。</w:t>
      </w:r>
      <w:r>
        <w:rPr>
          <w:rFonts w:hint="eastAsia" w:ascii="仿宋_GB2312" w:hAnsi="ˎ̥" w:eastAsia="仿宋_GB2312"/>
          <w:sz w:val="32"/>
          <w:szCs w:val="32"/>
          <w:lang w:val="en-US"/>
        </w:rPr>
        <w:t>（注</w:t>
      </w:r>
      <w:r>
        <w:rPr>
          <w:rFonts w:hint="default" w:ascii="仿宋_GB2312" w:hAnsi="ˎ̥" w:eastAsia="仿宋_GB2312"/>
          <w:sz w:val="32"/>
          <w:szCs w:val="32"/>
          <w:lang w:val="en-US"/>
        </w:rPr>
        <w:t>：</w:t>
      </w:r>
      <w:r>
        <w:rPr>
          <w:rFonts w:hint="eastAsia" w:ascii="仿宋_GB2312" w:hAnsi="ˎ̥" w:eastAsia="仿宋_GB2312"/>
          <w:sz w:val="32"/>
          <w:szCs w:val="32"/>
          <w:lang w:val="en-US"/>
        </w:rPr>
        <w:t>上述各项支出数可取自财决公开03表</w:t>
      </w:r>
      <w:r>
        <w:rPr>
          <w:rFonts w:hint="eastAsia" w:ascii="仿宋_GB2312" w:hAnsi="ˎ̥" w:eastAsia="仿宋_GB2312"/>
          <w:sz w:val="32"/>
          <w:szCs w:val="32"/>
          <w:lang w:val="en-US" w:eastAsia="zh-CN"/>
        </w:rPr>
        <w:t>。</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eastAsia" w:ascii="仿宋_GB2312" w:hAnsi="ˎ̥" w:eastAsia="仿宋_GB2312"/>
          <w:sz w:val="32"/>
          <w:szCs w:val="32"/>
          <w:lang w:val="en-US"/>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年度财政拨款收入</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rPr>
        <w:t>万元，支出</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rPr>
        <w:t>万元。与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年度相比，财政拨款收入增加</w:t>
      </w:r>
      <w:r>
        <w:rPr>
          <w:rFonts w:hint="eastAsia" w:ascii="仿宋_GB2312" w:hAnsi="ˎ̥" w:eastAsia="仿宋_GB2312"/>
          <w:color w:val="FF0000"/>
          <w:sz w:val="32"/>
          <w:szCs w:val="32"/>
          <w:lang w:val="en-US" w:eastAsia="zh-CN"/>
        </w:rPr>
        <w:t>392.68</w:t>
      </w:r>
      <w:r>
        <w:rPr>
          <w:rFonts w:hint="eastAsia" w:ascii="仿宋_GB2312" w:hAnsi="ˎ̥" w:eastAsia="仿宋_GB2312"/>
          <w:sz w:val="32"/>
          <w:szCs w:val="32"/>
          <w:lang w:val="en-US"/>
        </w:rPr>
        <w:t>万元，增长</w:t>
      </w:r>
      <w:r>
        <w:rPr>
          <w:rFonts w:hint="eastAsia" w:ascii="仿宋_GB2312" w:hAnsi="ˎ̥" w:eastAsia="仿宋_GB2312"/>
          <w:color w:val="FF0000"/>
          <w:sz w:val="32"/>
          <w:szCs w:val="32"/>
          <w:lang w:val="en-US" w:eastAsia="zh-CN"/>
        </w:rPr>
        <w:t>37.4%</w:t>
      </w:r>
      <w:r>
        <w:rPr>
          <w:rFonts w:hint="eastAsia" w:ascii="仿宋_GB2312" w:hAnsi="ˎ̥" w:eastAsia="仿宋_GB2312"/>
          <w:sz w:val="32"/>
          <w:szCs w:val="32"/>
          <w:lang w:val="en-US"/>
        </w:rPr>
        <w:t>，</w:t>
      </w:r>
      <w:r>
        <w:rPr>
          <w:rFonts w:hint="eastAsia" w:ascii="仿宋_GB2312" w:hAnsi="ˎ̥" w:eastAsia="仿宋_GB2312"/>
          <w:sz w:val="32"/>
          <w:szCs w:val="32"/>
          <w:lang w:val="en-US" w:eastAsia="zh-CN"/>
        </w:rPr>
        <w:t>主要原因：因年度项目实施计划优化调整，2024年新增推进爱国主义教育基地建设、沙盘制作、县级首部微短剧《是旷野啊》等重点项目</w:t>
      </w:r>
      <w:r>
        <w:rPr>
          <w:rFonts w:hint="eastAsia" w:ascii="仿宋_GB2312" w:hAnsi="ˎ̥" w:eastAsia="仿宋_GB2312"/>
          <w:sz w:val="32"/>
          <w:szCs w:val="32"/>
          <w:lang w:val="en-US"/>
        </w:rPr>
        <w:t>。支出增加（减少）</w:t>
      </w:r>
      <w:r>
        <w:rPr>
          <w:rFonts w:hint="eastAsia" w:ascii="仿宋_GB2312" w:hAnsi="ˎ̥" w:eastAsia="仿宋_GB2312"/>
          <w:color w:val="FF0000"/>
          <w:sz w:val="32"/>
          <w:szCs w:val="32"/>
          <w:lang w:val="en-US" w:eastAsia="zh-CN"/>
        </w:rPr>
        <w:t>368.93</w:t>
      </w:r>
      <w:r>
        <w:rPr>
          <w:rFonts w:hint="eastAsia" w:ascii="仿宋_GB2312" w:hAnsi="ˎ̥" w:eastAsia="仿宋_GB2312"/>
          <w:sz w:val="32"/>
          <w:szCs w:val="32"/>
          <w:lang w:val="en-US"/>
        </w:rPr>
        <w:t>万元，增长（下降）</w:t>
      </w:r>
      <w:r>
        <w:rPr>
          <w:rFonts w:hint="eastAsia" w:ascii="仿宋_GB2312" w:hAnsi="ˎ̥" w:eastAsia="仿宋_GB2312"/>
          <w:color w:val="FF0000"/>
          <w:sz w:val="32"/>
          <w:szCs w:val="32"/>
          <w:lang w:val="en-US" w:eastAsia="zh-CN"/>
        </w:rPr>
        <w:t>35.15%</w:t>
      </w:r>
      <w:r>
        <w:rPr>
          <w:rFonts w:hint="eastAsia" w:ascii="仿宋_GB2312" w:hAnsi="ˎ̥" w:eastAsia="仿宋_GB2312"/>
          <w:sz w:val="32"/>
          <w:szCs w:val="32"/>
          <w:lang w:val="en-US"/>
        </w:rPr>
        <w:t>，主要原因：</w:t>
      </w:r>
      <w:r>
        <w:rPr>
          <w:rFonts w:hint="eastAsia" w:ascii="仿宋_GB2312" w:hAnsi="ˎ̥" w:eastAsia="仿宋_GB2312"/>
          <w:sz w:val="32"/>
          <w:szCs w:val="32"/>
          <w:lang w:val="en-US" w:eastAsia="zh-CN"/>
        </w:rPr>
        <w:t>因年度项目实施计划优化调整，2024年新增推进爱国主义教育基地建设、沙盘制作、县级首部微短剧《是旷野啊》等重点项目，相关支出随之增加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万元，较</w:t>
      </w:r>
      <w:r>
        <w:rPr>
          <w:rFonts w:hint="default" w:ascii="仿宋_GB2312" w:hAnsi="ˎ̥" w:eastAsia="仿宋_GB2312"/>
          <w:sz w:val="32"/>
          <w:szCs w:val="32"/>
          <w:lang w:val="en-US" w:eastAsia="zh-CN"/>
        </w:rPr>
        <w:t>2023</w:t>
      </w:r>
      <w:r>
        <w:rPr>
          <w:rFonts w:hint="eastAsia" w:ascii="仿宋_GB2312" w:hAnsi="ˎ̥" w:eastAsia="仿宋_GB2312"/>
          <w:sz w:val="32"/>
          <w:szCs w:val="32"/>
          <w:lang w:val="en-US" w:eastAsia="zh-CN"/>
        </w:rPr>
        <w:t>年度决算数减少</w:t>
      </w:r>
      <w:r>
        <w:rPr>
          <w:rFonts w:hint="eastAsia" w:ascii="仿宋_GB2312" w:hAnsi="ˎ̥" w:eastAsia="仿宋_GB2312"/>
          <w:color w:val="FF0000"/>
          <w:sz w:val="32"/>
          <w:szCs w:val="32"/>
          <w:lang w:val="en-US" w:eastAsia="zh-CN"/>
        </w:rPr>
        <w:t>23.75</w:t>
      </w:r>
      <w:r>
        <w:rPr>
          <w:rFonts w:hint="eastAsia" w:ascii="仿宋_GB2312" w:hAnsi="ˎ̥" w:eastAsia="仿宋_GB2312"/>
          <w:sz w:val="32"/>
          <w:szCs w:val="32"/>
          <w:lang w:val="en-US" w:eastAsia="zh-CN"/>
        </w:rPr>
        <w:t>万元，减少</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lang w:val="en-US" w:eastAsia="zh-CN"/>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财政拨款年末结转结余</w:t>
      </w:r>
      <w:r>
        <w:rPr>
          <w:rFonts w:hint="default"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w:t>
      </w:r>
      <w:r>
        <w:rPr>
          <w:rFonts w:hint="eastAsia" w:ascii="仿宋_GB2312" w:hAnsi="ˎ̥" w:eastAsia="仿宋_GB2312"/>
          <w:sz w:val="32"/>
          <w:szCs w:val="32"/>
        </w:rPr>
        <w:t>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0.00</w:t>
      </w:r>
      <w:r>
        <w:rPr>
          <w:rFonts w:hint="eastAsia" w:ascii="仿宋_GB2312" w:hAnsi="ˎ̥" w:eastAsia="仿宋_GB2312"/>
          <w:sz w:val="32"/>
          <w:szCs w:val="32"/>
          <w:lang w:val="en-US" w:eastAsia="zh-CN"/>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7398_WPSOffice_Level2"/>
      <w:bookmarkStart w:id="78" w:name="_Toc21737_WPSOffice_Level2"/>
      <w:bookmarkStart w:id="79" w:name="_Toc19665_WPSOffice_Level2"/>
      <w:bookmarkStart w:id="80" w:name="_Toc23005_WPSOffice_Level2"/>
      <w:bookmarkStart w:id="81" w:name="_Toc9989_WPSOffice_Level2"/>
      <w:bookmarkStart w:id="82" w:name="_Toc13694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年度相比，一般公共预算财政拨款支出增加</w:t>
      </w:r>
      <w:r>
        <w:rPr>
          <w:rFonts w:hint="eastAsia" w:ascii="仿宋_GB2312" w:hAnsi="ˎ̥" w:eastAsia="仿宋_GB2312"/>
          <w:color w:val="FF0000"/>
          <w:sz w:val="32"/>
          <w:szCs w:val="32"/>
          <w:lang w:val="en-US" w:eastAsia="zh-CN"/>
        </w:rPr>
        <w:t>368.93</w:t>
      </w:r>
      <w:r>
        <w:rPr>
          <w:rFonts w:hint="eastAsia" w:ascii="仿宋_GB2312" w:hAnsi="ˎ̥" w:eastAsia="仿宋_GB2312"/>
          <w:sz w:val="32"/>
          <w:szCs w:val="32"/>
          <w:lang w:val="en-US"/>
        </w:rPr>
        <w:t>万元，增长</w:t>
      </w:r>
      <w:r>
        <w:rPr>
          <w:rFonts w:hint="eastAsia" w:ascii="仿宋_GB2312" w:hAnsi="ˎ̥" w:eastAsia="仿宋_GB2312"/>
          <w:color w:val="FF0000"/>
          <w:sz w:val="32"/>
          <w:szCs w:val="32"/>
          <w:lang w:val="en-US" w:eastAsia="zh-CN"/>
        </w:rPr>
        <w:t>35.15%</w:t>
      </w:r>
      <w:r>
        <w:rPr>
          <w:rFonts w:hint="eastAsia" w:ascii="仿宋_GB2312" w:hAnsi="ˎ̥" w:eastAsia="仿宋_GB2312"/>
          <w:sz w:val="32"/>
          <w:szCs w:val="32"/>
          <w:lang w:val="en-US"/>
        </w:rPr>
        <w:t>，主要原因是</w:t>
      </w:r>
      <w:r>
        <w:rPr>
          <w:rFonts w:hint="eastAsia" w:ascii="仿宋_GB2312" w:hAnsi="ˎ̥" w:eastAsia="仿宋_GB2312"/>
          <w:sz w:val="32"/>
          <w:szCs w:val="32"/>
          <w:lang w:val="en-US" w:eastAsia="zh-CN"/>
        </w:rPr>
        <w:t>年度项目实施计划优化调整，2024年新增推进爱国主义教育基地建设、沙盘制作、县级首部微短剧《是旷野啊》等重点项目</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rPr>
      </w:pPr>
      <w:bookmarkStart w:id="83" w:name="_Toc27767_WPSOffice_Level2"/>
      <w:bookmarkStart w:id="84" w:name="_Toc2711_WPSOffice_Level2"/>
      <w:bookmarkStart w:id="85" w:name="_Toc18793_WPSOffice_Level2"/>
      <w:bookmarkStart w:id="86" w:name="_Toc19535_WPSOffice_Level2"/>
      <w:bookmarkStart w:id="87" w:name="_Toc23864_WPSOffice_Level2"/>
      <w:bookmarkStart w:id="88" w:name="_Toc19075_WPSOffice_Level2"/>
      <w:r>
        <w:rPr>
          <w:rFonts w:hint="eastAsia" w:ascii="仿宋_GB2312" w:hAnsi="ˎ̥" w:eastAsia="仿宋_GB2312"/>
          <w:sz w:val="32"/>
          <w:szCs w:val="32"/>
          <w:lang w:val="en-US"/>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年度一般公共预算财政拨款支出</w:t>
      </w:r>
      <w:r>
        <w:rPr>
          <w:rFonts w:hint="default" w:ascii="仿宋_GB2312" w:hAnsi="ˎ̥" w:eastAsia="仿宋_GB2312"/>
          <w:color w:val="FF0000"/>
          <w:sz w:val="32"/>
          <w:szCs w:val="32"/>
          <w:lang w:val="en-US" w:eastAsia="zh-CN"/>
        </w:rPr>
        <w:t>1,049.51</w:t>
      </w:r>
      <w:r>
        <w:rPr>
          <w:rFonts w:hint="eastAsia" w:ascii="仿宋_GB2312" w:hAnsi="ˎ̥" w:eastAsia="仿宋_GB2312"/>
          <w:sz w:val="32"/>
          <w:szCs w:val="32"/>
          <w:lang w:val="en-US"/>
        </w:rPr>
        <w:t>万元，主要用于以下方面：一般公共服务（类）支出</w:t>
      </w:r>
      <w:r>
        <w:rPr>
          <w:rFonts w:hint="eastAsia" w:ascii="仿宋_GB2312" w:hAnsi="ˎ̥" w:eastAsia="仿宋_GB2312"/>
          <w:color w:val="FF0000"/>
          <w:sz w:val="32"/>
          <w:szCs w:val="32"/>
          <w:lang w:val="en-US" w:eastAsia="zh-CN"/>
        </w:rPr>
        <w:t>930.28</w:t>
      </w:r>
      <w:r>
        <w:rPr>
          <w:rFonts w:hint="eastAsia" w:ascii="仿宋_GB2312" w:hAnsi="ˎ̥" w:eastAsia="仿宋_GB2312"/>
          <w:sz w:val="32"/>
          <w:szCs w:val="32"/>
          <w:lang w:val="en-US"/>
        </w:rPr>
        <w:t>万元，占</w:t>
      </w:r>
      <w:r>
        <w:rPr>
          <w:rFonts w:hint="eastAsia" w:ascii="仿宋_GB2312" w:hAnsi="ˎ̥" w:eastAsia="仿宋_GB2312"/>
          <w:color w:val="FF0000"/>
          <w:sz w:val="32"/>
          <w:szCs w:val="32"/>
          <w:lang w:val="en-US" w:eastAsia="zh-CN"/>
        </w:rPr>
        <w:t>88.63%</w:t>
      </w:r>
      <w:r>
        <w:rPr>
          <w:rFonts w:hint="eastAsia" w:ascii="仿宋_GB2312" w:hAnsi="ˎ̥" w:eastAsia="仿宋_GB2312"/>
          <w:sz w:val="32"/>
          <w:szCs w:val="32"/>
          <w:lang w:val="en-US"/>
        </w:rPr>
        <w:t>；社会保障和就业（类）支出</w:t>
      </w:r>
      <w:r>
        <w:rPr>
          <w:rFonts w:hint="eastAsia" w:ascii="仿宋_GB2312" w:hAnsi="ˎ̥" w:eastAsia="仿宋_GB2312"/>
          <w:color w:val="FF0000"/>
          <w:sz w:val="32"/>
          <w:szCs w:val="32"/>
          <w:lang w:val="en-US" w:eastAsia="zh-CN"/>
        </w:rPr>
        <w:t>48.42</w:t>
      </w:r>
      <w:r>
        <w:rPr>
          <w:rFonts w:hint="eastAsia" w:ascii="仿宋_GB2312" w:hAnsi="ˎ̥" w:eastAsia="仿宋_GB2312"/>
          <w:sz w:val="32"/>
          <w:szCs w:val="32"/>
          <w:lang w:val="en-US"/>
        </w:rPr>
        <w:t>万元，占</w:t>
      </w:r>
      <w:r>
        <w:rPr>
          <w:rFonts w:hint="eastAsia" w:ascii="仿宋_GB2312" w:hAnsi="ˎ̥" w:eastAsia="仿宋_GB2312"/>
          <w:color w:val="FF0000"/>
          <w:sz w:val="32"/>
          <w:szCs w:val="32"/>
          <w:lang w:val="en-US" w:eastAsia="zh-CN"/>
        </w:rPr>
        <w:t>4.61%</w:t>
      </w:r>
      <w:r>
        <w:rPr>
          <w:rFonts w:hint="eastAsia" w:ascii="仿宋_GB2312" w:hAnsi="ˎ̥" w:eastAsia="仿宋_GB2312"/>
          <w:sz w:val="32"/>
          <w:szCs w:val="32"/>
          <w:lang w:val="en-US"/>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44.57</w:t>
      </w:r>
      <w:r>
        <w:rPr>
          <w:rFonts w:hint="eastAsia" w:ascii="仿宋_GB2312" w:hAnsi="ˎ̥" w:eastAsia="仿宋_GB2312"/>
          <w:sz w:val="32"/>
          <w:szCs w:val="32"/>
          <w:lang w:val="en-US" w:eastAsia="zh-CN"/>
        </w:rPr>
        <w:t>万元，占</w:t>
      </w:r>
      <w:bookmarkStart w:id="119" w:name="_GoBack"/>
      <w:r>
        <w:rPr>
          <w:rFonts w:hint="eastAsia" w:ascii="仿宋_GB2312" w:hAnsi="ˎ̥" w:eastAsia="仿宋_GB2312"/>
          <w:color w:val="FF0000"/>
          <w:sz w:val="32"/>
          <w:szCs w:val="32"/>
          <w:lang w:val="en-US" w:eastAsia="zh-CN"/>
        </w:rPr>
        <w:t>4.24%</w:t>
      </w:r>
      <w:bookmarkEnd w:id="119"/>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5136_WPSOffice_Level2"/>
      <w:bookmarkStart w:id="90" w:name="_Toc29364_WPSOffice_Level2"/>
      <w:bookmarkStart w:id="91" w:name="_Toc15415_WPSOffice_Level2"/>
      <w:bookmarkStart w:id="92" w:name="_Toc21701_WPSOffice_Level2"/>
      <w:bookmarkStart w:id="93" w:name="_Toc22318_WPSOffice_Level2"/>
      <w:bookmarkStart w:id="94" w:name="_Toc9502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799.97</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1,049.51</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527.01</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491.77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35.24</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 xml:space="preserve">%。  </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5.18</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5.18</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0.88</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20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eastAsia="zh-CN"/>
        </w:rPr>
        <w:t>本年度开展理论宣讲、下乡调研等任务增加，导致燃油等相关费用相应增长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5.18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5.18</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5.18</w:t>
      </w:r>
      <w:r>
        <w:rPr>
          <w:rFonts w:hint="eastAsia" w:ascii="仿宋_GB2312" w:hAnsi="ˎ̥" w:eastAsia="仿宋_GB2312"/>
          <w:sz w:val="32"/>
          <w:szCs w:val="32"/>
        </w:rPr>
        <w:t>万元，主要用于</w:t>
      </w:r>
      <w:r>
        <w:rPr>
          <w:rFonts w:hint="eastAsia" w:ascii="仿宋_GB2312" w:hAnsi="ˎ̥" w:eastAsia="仿宋_GB2312"/>
          <w:sz w:val="32"/>
          <w:szCs w:val="32"/>
          <w:lang w:eastAsia="zh-CN"/>
        </w:rPr>
        <w:t>宣传理论宣讲、下乡调研、文明实践调研等系列宣传事物</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0.88</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lang w:val="en-US" w:eastAsia="zh-CN"/>
        </w:rPr>
        <w:t>20</w:t>
      </w:r>
      <w:r>
        <w:rPr>
          <w:rFonts w:hint="eastAsia" w:ascii="仿宋_GB2312" w:hAnsi="ˎ̥" w:eastAsia="仿宋_GB2312"/>
          <w:sz w:val="32"/>
          <w:szCs w:val="32"/>
        </w:rPr>
        <w:t>%，主要原因是</w:t>
      </w:r>
      <w:r>
        <w:rPr>
          <w:rFonts w:hint="eastAsia" w:ascii="仿宋_GB2312" w:hAnsi="ˎ̥" w:eastAsia="仿宋_GB2312"/>
          <w:sz w:val="32"/>
          <w:szCs w:val="32"/>
          <w:lang w:eastAsia="zh-CN"/>
        </w:rPr>
        <w:t>本年度开展理论宣讲、下乡调研等任务增加，导致燃油等相关费用相应增长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default" w:ascii="仿宋_GB2312" w:eastAsia="仿宋_GB2312"/>
          <w:color w:val="FF0000"/>
          <w:sz w:val="32"/>
          <w:szCs w:val="32"/>
          <w:lang w:val="en-US"/>
        </w:rPr>
        <w:t>XX</w:t>
      </w:r>
      <w:r>
        <w:rPr>
          <w:rFonts w:hint="eastAsia" w:ascii="仿宋_GB2312" w:eastAsia="仿宋_GB2312"/>
          <w:sz w:val="32"/>
          <w:szCs w:val="32"/>
          <w:lang w:val="en-US" w:eastAsia="zh-CN"/>
        </w:rPr>
        <w:t>万元，占一般公共预算项目支出总额的</w:t>
      </w:r>
      <w:r>
        <w:rPr>
          <w:rFonts w:hint="default" w:ascii="仿宋_GB2312" w:eastAsia="仿宋_GB2312"/>
          <w:color w:val="FF0000"/>
          <w:sz w:val="32"/>
          <w:szCs w:val="32"/>
          <w:lang w:val="en-US"/>
        </w:rPr>
        <w:t>XX</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rPr>
        <w:t>XX</w:t>
      </w:r>
      <w:r>
        <w:rPr>
          <w:rFonts w:hint="eastAsia" w:ascii="仿宋_GB2312" w:eastAsia="仿宋_GB2312"/>
          <w:sz w:val="32"/>
          <w:szCs w:val="32"/>
          <w:lang w:bidi="ar"/>
        </w:rPr>
        <w:t>等</w:t>
      </w:r>
      <w:r>
        <w:rPr>
          <w:rFonts w:hint="default" w:ascii="仿宋_GB2312" w:eastAsia="仿宋_GB2312"/>
          <w:color w:val="FF0000"/>
          <w:sz w:val="32"/>
          <w:szCs w:val="32"/>
          <w:lang w:val="en-US"/>
        </w:rPr>
        <w:t>XX</w:t>
      </w:r>
      <w:r>
        <w:rPr>
          <w:rFonts w:hint="eastAsia" w:ascii="仿宋_GB2312" w:eastAsia="仿宋_GB2312"/>
          <w:sz w:val="32"/>
          <w:szCs w:val="32"/>
          <w:lang w:bidi="ar"/>
        </w:rPr>
        <w:t>个政府性基金预算项目开展绩效自评，共涉及资金</w:t>
      </w:r>
      <w:r>
        <w:rPr>
          <w:rFonts w:hint="default" w:ascii="仿宋_GB2312" w:eastAsia="仿宋_GB2312"/>
          <w:color w:val="FF0000"/>
          <w:sz w:val="32"/>
          <w:szCs w:val="32"/>
          <w:lang w:val="en-US"/>
        </w:rPr>
        <w:t>XX</w:t>
      </w:r>
      <w:r>
        <w:rPr>
          <w:rFonts w:hint="eastAsia" w:ascii="仿宋_GB2312" w:eastAsia="仿宋_GB2312"/>
          <w:sz w:val="32"/>
          <w:szCs w:val="32"/>
          <w:lang w:bidi="ar"/>
        </w:rPr>
        <w:t>万元，占政府性基金预算项目支出总额的</w:t>
      </w:r>
      <w:r>
        <w:rPr>
          <w:rFonts w:hint="default" w:ascii="仿宋_GB2312" w:eastAsia="仿宋_GB2312"/>
          <w:color w:val="FF0000"/>
          <w:sz w:val="32"/>
          <w:szCs w:val="32"/>
          <w:lang w:val="en-US"/>
        </w:rPr>
        <w:t>XX</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rPr>
        <w:t>XX</w:t>
      </w:r>
      <w:r>
        <w:rPr>
          <w:rFonts w:hint="eastAsia" w:ascii="仿宋_GB2312" w:eastAsia="仿宋_GB2312"/>
          <w:sz w:val="32"/>
          <w:szCs w:val="32"/>
          <w:lang w:bidi="ar"/>
        </w:rPr>
        <w:t>等</w:t>
      </w:r>
      <w:r>
        <w:rPr>
          <w:rFonts w:hint="default" w:ascii="仿宋_GB2312" w:eastAsia="仿宋_GB2312"/>
          <w:color w:val="FF0000"/>
          <w:sz w:val="32"/>
          <w:szCs w:val="32"/>
          <w:lang w:val="en-US"/>
        </w:rPr>
        <w:t>XX</w:t>
      </w:r>
      <w:r>
        <w:rPr>
          <w:rFonts w:hint="eastAsia" w:ascii="仿宋_GB2312" w:eastAsia="仿宋_GB2312"/>
          <w:sz w:val="32"/>
          <w:szCs w:val="32"/>
          <w:lang w:bidi="ar"/>
        </w:rPr>
        <w:t xml:space="preserve">个国有资本经营预算项目开展绩效自评，共涉及资金 </w:t>
      </w:r>
      <w:r>
        <w:rPr>
          <w:rFonts w:hint="default" w:ascii="仿宋_GB2312" w:eastAsia="仿宋_GB2312"/>
          <w:color w:val="FF0000"/>
          <w:sz w:val="32"/>
          <w:szCs w:val="32"/>
          <w:lang w:val="en-US"/>
        </w:rPr>
        <w:t>XX</w:t>
      </w:r>
      <w:r>
        <w:rPr>
          <w:rFonts w:hint="eastAsia" w:ascii="仿宋_GB2312" w:eastAsia="仿宋_GB2312"/>
          <w:sz w:val="32"/>
          <w:szCs w:val="32"/>
          <w:lang w:bidi="ar"/>
        </w:rPr>
        <w:t>万元，占国有资本经营预算项目支出总额的</w:t>
      </w:r>
      <w:r>
        <w:rPr>
          <w:rFonts w:hint="default" w:ascii="仿宋_GB2312" w:eastAsia="仿宋_GB2312"/>
          <w:color w:val="FF0000"/>
          <w:sz w:val="32"/>
          <w:szCs w:val="32"/>
          <w:lang w:val="en-US"/>
        </w:rPr>
        <w:t>XX</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default" w:ascii="仿宋_GB2312" w:eastAsia="仿宋_GB2312"/>
          <w:color w:val="FF0000"/>
          <w:sz w:val="32"/>
          <w:szCs w:val="32"/>
          <w:lang w:val="en-US"/>
        </w:rPr>
        <w:t>XX</w:t>
      </w:r>
      <w:r>
        <w:rPr>
          <w:rFonts w:hint="eastAsia" w:ascii="仿宋_GB2312" w:eastAsia="仿宋_GB2312"/>
          <w:sz w:val="32"/>
          <w:szCs w:val="32"/>
        </w:rPr>
        <w:t>”等</w:t>
      </w:r>
      <w:r>
        <w:rPr>
          <w:rFonts w:hint="default" w:ascii="仿宋_GB2312" w:eastAsia="仿宋_GB2312"/>
          <w:color w:val="FF0000"/>
          <w:sz w:val="32"/>
          <w:szCs w:val="32"/>
          <w:lang w:val="en-US"/>
        </w:rPr>
        <w:t>XX</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default" w:ascii="仿宋_GB2312" w:eastAsia="仿宋_GB2312"/>
          <w:color w:val="FF0000"/>
          <w:sz w:val="32"/>
          <w:szCs w:val="32"/>
          <w:lang w:val="en-US"/>
        </w:rPr>
        <w:t>XX</w:t>
      </w:r>
      <w:r>
        <w:rPr>
          <w:rFonts w:hint="eastAsia" w:ascii="仿宋_GB2312" w:eastAsia="仿宋_GB2312"/>
          <w:sz w:val="32"/>
          <w:szCs w:val="32"/>
          <w:lang w:bidi="ar"/>
        </w:rPr>
        <w:t>万元，政府性基金预算支出</w:t>
      </w:r>
      <w:r>
        <w:rPr>
          <w:rFonts w:hint="default" w:ascii="仿宋_GB2312" w:eastAsia="仿宋_GB2312"/>
          <w:color w:val="FF0000"/>
          <w:sz w:val="32"/>
          <w:szCs w:val="32"/>
          <w:lang w:val="en-US"/>
        </w:rPr>
        <w:t>XX</w:t>
      </w:r>
      <w:r>
        <w:rPr>
          <w:rFonts w:hint="eastAsia" w:ascii="仿宋_GB2312" w:eastAsia="仿宋_GB2312"/>
          <w:sz w:val="32"/>
          <w:szCs w:val="32"/>
          <w:lang w:bidi="ar"/>
        </w:rPr>
        <w:t>万元，国有资本经营预算支出</w:t>
      </w:r>
      <w:r>
        <w:rPr>
          <w:rFonts w:hint="default" w:ascii="仿宋_GB2312" w:eastAsia="仿宋_GB2312"/>
          <w:color w:val="FF0000"/>
          <w:sz w:val="32"/>
          <w:szCs w:val="32"/>
          <w:lang w:val="en-US"/>
        </w:rPr>
        <w:t>XX</w:t>
      </w:r>
      <w:r>
        <w:rPr>
          <w:rFonts w:hint="eastAsia" w:ascii="仿宋_GB2312" w:eastAsia="仿宋_GB2312"/>
          <w:sz w:val="32"/>
          <w:szCs w:val="32"/>
          <w:lang w:bidi="ar"/>
        </w:rPr>
        <w:t>万元。</w:t>
      </w:r>
      <w:r>
        <w:rPr>
          <w:rFonts w:hint="eastAsia" w:ascii="仿宋_GB2312" w:eastAsia="仿宋_GB2312"/>
          <w:sz w:val="32"/>
          <w:szCs w:val="32"/>
        </w:rPr>
        <w:t>从评价情况来看，……（预算部门如有，请对预算绩效评价情况进行简单说明；没有，则简要说明本年没有进行相关工作及理由。部门所属单位不需填写此项）。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default" w:ascii="仿宋_GB2312" w:eastAsia="仿宋_GB2312"/>
          <w:color w:val="FF0000"/>
          <w:sz w:val="32"/>
          <w:szCs w:val="32"/>
          <w:lang w:val="en-US"/>
        </w:rPr>
        <w:t>XX</w:t>
      </w:r>
      <w:r>
        <w:rPr>
          <w:rFonts w:hint="eastAsia" w:ascii="仿宋_GB2312" w:eastAsia="仿宋_GB2312"/>
          <w:sz w:val="32"/>
          <w:szCs w:val="32"/>
        </w:rPr>
        <w:t>等</w:t>
      </w:r>
      <w:r>
        <w:rPr>
          <w:rFonts w:hint="default" w:ascii="仿宋_GB2312" w:eastAsia="仿宋_GB2312"/>
          <w:color w:val="FF0000"/>
          <w:sz w:val="32"/>
          <w:szCs w:val="32"/>
          <w:lang w:val="en-US"/>
        </w:rPr>
        <w:t>XX</w:t>
      </w:r>
      <w:r>
        <w:rPr>
          <w:rFonts w:hint="eastAsia" w:ascii="仿宋_GB2312" w:eastAsia="仿宋_GB2312"/>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项目绩效自评表：</w:t>
      </w:r>
      <w:r>
        <w:rPr>
          <w:rFonts w:hint="eastAsia" w:ascii="仿宋_GB2312" w:eastAsia="仿宋_GB2312"/>
          <w:color w:val="FF0000"/>
          <w:sz w:val="32"/>
          <w:szCs w:val="32"/>
          <w:lang w:eastAsia="zh-CN"/>
        </w:rPr>
        <w:t>（</w:t>
      </w:r>
      <w:r>
        <w:rPr>
          <w:rFonts w:hint="eastAsia" w:ascii="仿宋_GB2312" w:eastAsia="仿宋_GB2312"/>
          <w:color w:val="FF0000"/>
          <w:sz w:val="32"/>
          <w:szCs w:val="32"/>
          <w:lang w:val="en-US" w:eastAsia="zh-CN"/>
        </w:rPr>
        <w:t>可作为附件附后</w:t>
      </w:r>
      <w:r>
        <w:rPr>
          <w:rFonts w:hint="eastAsia" w:ascii="仿宋_GB2312" w:eastAsia="仿宋_GB2312"/>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default" w:ascii="仿宋_GB2312" w:eastAsia="仿宋_GB2312"/>
          <w:color w:val="FF0000"/>
          <w:sz w:val="32"/>
          <w:szCs w:val="32"/>
          <w:lang w:val="en-US"/>
        </w:rPr>
        <w:t>XXX</w:t>
      </w:r>
      <w:r>
        <w:rPr>
          <w:rFonts w:hint="eastAsia" w:ascii="仿宋_GB2312" w:eastAsia="仿宋_GB2312"/>
          <w:sz w:val="32"/>
          <w:szCs w:val="32"/>
        </w:rPr>
        <w:t>项目绩效自评报告：根据年初设定的绩效目标，项目绩效自评得分为</w:t>
      </w:r>
      <w:r>
        <w:rPr>
          <w:rFonts w:hint="default" w:ascii="仿宋_GB2312" w:eastAsia="仿宋_GB2312"/>
          <w:color w:val="FF0000"/>
          <w:sz w:val="32"/>
          <w:szCs w:val="32"/>
          <w:lang w:val="en-US"/>
        </w:rPr>
        <w:t>XX</w:t>
      </w:r>
      <w:r>
        <w:rPr>
          <w:rFonts w:hint="eastAsia" w:ascii="仿宋_GB2312" w:eastAsia="仿宋_GB2312"/>
          <w:sz w:val="32"/>
          <w:szCs w:val="32"/>
        </w:rPr>
        <w:t>分。全年预算数为</w:t>
      </w:r>
      <w:r>
        <w:rPr>
          <w:rFonts w:hint="default" w:ascii="仿宋_GB2312" w:eastAsia="仿宋_GB2312"/>
          <w:color w:val="FF0000"/>
          <w:sz w:val="32"/>
          <w:szCs w:val="32"/>
          <w:lang w:val="en-US"/>
        </w:rPr>
        <w:t>XX</w:t>
      </w:r>
      <w:r>
        <w:rPr>
          <w:rFonts w:hint="eastAsia" w:ascii="仿宋_GB2312" w:eastAsia="仿宋_GB2312"/>
          <w:sz w:val="32"/>
          <w:szCs w:val="32"/>
        </w:rPr>
        <w:t>万元，执行数为</w:t>
      </w:r>
      <w:r>
        <w:rPr>
          <w:rFonts w:hint="default" w:ascii="仿宋_GB2312" w:eastAsia="仿宋_GB2312"/>
          <w:color w:val="FF0000"/>
          <w:sz w:val="32"/>
          <w:szCs w:val="32"/>
          <w:lang w:val="en-US"/>
        </w:rPr>
        <w:t>XX</w:t>
      </w:r>
      <w:r>
        <w:rPr>
          <w:rFonts w:hint="eastAsia" w:ascii="仿宋_GB2312" w:eastAsia="仿宋_GB2312"/>
          <w:sz w:val="32"/>
          <w:szCs w:val="32"/>
        </w:rPr>
        <w:t>万元，完成预算的</w:t>
      </w:r>
      <w:r>
        <w:rPr>
          <w:rFonts w:hint="default" w:ascii="仿宋_GB2312" w:eastAsia="仿宋_GB2312"/>
          <w:color w:val="FF0000"/>
          <w:sz w:val="32"/>
          <w:szCs w:val="32"/>
          <w:lang w:val="en-US"/>
        </w:rPr>
        <w:t>XX</w:t>
      </w:r>
      <w:r>
        <w:rPr>
          <w:rFonts w:hint="eastAsia" w:ascii="仿宋_GB2312" w:eastAsia="仿宋_GB2312"/>
          <w:sz w:val="32"/>
          <w:szCs w:val="32"/>
        </w:rPr>
        <w:t>%。项目绩效目标完成情况：一是……；二是……。发现的主要问题及原因：</w:t>
      </w:r>
      <w:r>
        <w:rPr>
          <w:rFonts w:hint="eastAsia" w:ascii="仿宋_GB2312" w:eastAsia="仿宋_GB2312"/>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32639_WPSOffice_Level2"/>
      <w:bookmarkStart w:id="96" w:name="_Toc18325_WPSOffice_Level2"/>
      <w:bookmarkStart w:id="97" w:name="_Toc15565_WPSOffice_Level2"/>
      <w:bookmarkStart w:id="98" w:name="_Toc5978_WPSOffice_Level2"/>
      <w:bookmarkStart w:id="99" w:name="_Toc23598_WPSOffice_Level2"/>
      <w:bookmarkStart w:id="100" w:name="_Toc15262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宣传</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35.24</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万元（为部门决算中行政单位和参公事业单位财政拨款基本支出中公用经费支出之和，事业单位没有机关运行经费支出），比年初预算（减少）</w:t>
      </w:r>
      <w:r>
        <w:rPr>
          <w:rFonts w:hint="eastAsia" w:ascii="仿宋_GB2312" w:hAnsi="ˎ̥" w:eastAsia="仿宋_GB2312"/>
          <w:color w:val="FF0000"/>
          <w:sz w:val="32"/>
          <w:szCs w:val="32"/>
          <w:lang w:val="en-US" w:eastAsia="zh-CN"/>
        </w:rPr>
        <w:t>4.55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88.56</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color w:val="FF0000"/>
          <w:sz w:val="32"/>
          <w:szCs w:val="32"/>
          <w:lang w:val="en-US" w:eastAsia="zh-CN"/>
        </w:rPr>
        <w:t>18.44</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w:t>
      </w:r>
      <w:r>
        <w:rPr>
          <w:rFonts w:hint="eastAsia" w:ascii="仿宋_GB2312" w:hAnsi="ˎ̥" w:eastAsia="仿宋_GB2312"/>
          <w:color w:val="FF0000"/>
          <w:sz w:val="32"/>
          <w:szCs w:val="32"/>
          <w:lang w:val="en-US" w:eastAsia="zh-CN"/>
        </w:rPr>
        <w:t>109.76</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办公设施设备购置经费增加</w:t>
      </w:r>
      <w:r>
        <w:rPr>
          <w:rFonts w:hint="eastAsia" w:ascii="仿宋_GB2312" w:hAnsi="ˎ̥" w:eastAsia="仿宋_GB2312"/>
          <w:sz w:val="32"/>
          <w:szCs w:val="32"/>
          <w:lang w:eastAsia="zh-CN" w:bidi="ar"/>
        </w:rPr>
        <w:t>、</w:t>
      </w:r>
      <w:r>
        <w:rPr>
          <w:rFonts w:hint="eastAsia" w:ascii="仿宋_GB2312" w:hAnsi="ˎ̥" w:eastAsia="仿宋_GB2312"/>
          <w:sz w:val="32"/>
          <w:szCs w:val="32"/>
          <w:lang w:bidi="ar"/>
        </w:rPr>
        <w:t>人员编制数量增加</w:t>
      </w:r>
      <w:r>
        <w:rPr>
          <w:rFonts w:hint="eastAsia" w:ascii="仿宋_GB2312" w:hAnsi="ˎ̥" w:eastAsia="仿宋_GB2312"/>
          <w:sz w:val="32"/>
          <w:szCs w:val="32"/>
          <w:lang w:val="en-US" w:eastAsia="zh-CN" w:bidi="ar"/>
        </w:rPr>
        <w:t>3人。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0383_WPSOffice_Level2"/>
      <w:bookmarkStart w:id="102" w:name="_Toc25333_WPSOffice_Level2"/>
      <w:bookmarkStart w:id="103" w:name="_Toc13084_WPSOffice_Level2"/>
      <w:bookmarkStart w:id="104" w:name="_Toc23966_WPSOffice_Level2"/>
      <w:bookmarkStart w:id="105" w:name="_Toc3131_WPSOffice_Level2"/>
      <w:bookmarkStart w:id="106" w:name="_Toc32689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宣传</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0902_WPSOffice_Level2"/>
      <w:bookmarkStart w:id="108" w:name="_Toc527_WPSOffice_Level2"/>
      <w:bookmarkStart w:id="109" w:name="_Toc19989_WPSOffice_Level2"/>
      <w:bookmarkStart w:id="110" w:name="_Toc15129_WPSOffice_Level2"/>
      <w:bookmarkStart w:id="111" w:name="_Toc29584_WPSOffice_Level2"/>
      <w:bookmarkStart w:id="112" w:name="_Toc6016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11039_WPSOffice_Level1"/>
      <w:bookmarkStart w:id="115" w:name="_Toc8808_WPSOffice_Level1"/>
      <w:bookmarkStart w:id="116" w:name="_Toc17580_WPSOffice_Level1"/>
      <w:bookmarkStart w:id="117" w:name="_Toc4398_WPSOffice_Level1"/>
      <w:bookmarkStart w:id="118"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54A99B00"/>
    <w:multiLevelType w:val="singleLevel"/>
    <w:tmpl w:val="54A99B00"/>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DD77F8"/>
    <w:rsid w:val="00E07782"/>
    <w:rsid w:val="00E70EA3"/>
    <w:rsid w:val="00F0336A"/>
    <w:rsid w:val="00F06DA9"/>
    <w:rsid w:val="00F103D6"/>
    <w:rsid w:val="00F25220"/>
    <w:rsid w:val="00FA2884"/>
    <w:rsid w:val="00FC03DC"/>
    <w:rsid w:val="00FC5708"/>
    <w:rsid w:val="0190474E"/>
    <w:rsid w:val="01CF07A7"/>
    <w:rsid w:val="02AC70EA"/>
    <w:rsid w:val="02D94C1F"/>
    <w:rsid w:val="03280AA7"/>
    <w:rsid w:val="03672E87"/>
    <w:rsid w:val="03B34200"/>
    <w:rsid w:val="03EA74D2"/>
    <w:rsid w:val="057118E8"/>
    <w:rsid w:val="08E25BFC"/>
    <w:rsid w:val="08F624A3"/>
    <w:rsid w:val="09201287"/>
    <w:rsid w:val="0934513E"/>
    <w:rsid w:val="09A61C4E"/>
    <w:rsid w:val="09B20DDC"/>
    <w:rsid w:val="0A2742AB"/>
    <w:rsid w:val="0A443D29"/>
    <w:rsid w:val="0ACA1D26"/>
    <w:rsid w:val="0BCE5295"/>
    <w:rsid w:val="0C246D16"/>
    <w:rsid w:val="0C683040"/>
    <w:rsid w:val="0CA436B4"/>
    <w:rsid w:val="0EFF1CFD"/>
    <w:rsid w:val="0F362ACF"/>
    <w:rsid w:val="0FC80124"/>
    <w:rsid w:val="10075F73"/>
    <w:rsid w:val="10FA4A52"/>
    <w:rsid w:val="11897827"/>
    <w:rsid w:val="123C0538"/>
    <w:rsid w:val="12D1234A"/>
    <w:rsid w:val="136C1AE0"/>
    <w:rsid w:val="136F98C7"/>
    <w:rsid w:val="13822C50"/>
    <w:rsid w:val="13B86F45"/>
    <w:rsid w:val="13EA20E2"/>
    <w:rsid w:val="146D325C"/>
    <w:rsid w:val="149550D3"/>
    <w:rsid w:val="14A42770"/>
    <w:rsid w:val="14BC2E6C"/>
    <w:rsid w:val="150073C1"/>
    <w:rsid w:val="150C13E4"/>
    <w:rsid w:val="157764F9"/>
    <w:rsid w:val="16FE781A"/>
    <w:rsid w:val="17174EDD"/>
    <w:rsid w:val="171D6E38"/>
    <w:rsid w:val="173E3010"/>
    <w:rsid w:val="17427E68"/>
    <w:rsid w:val="1755065F"/>
    <w:rsid w:val="175F2BC1"/>
    <w:rsid w:val="177804FA"/>
    <w:rsid w:val="189B68E7"/>
    <w:rsid w:val="19EC31BC"/>
    <w:rsid w:val="1A794263"/>
    <w:rsid w:val="1AFC29C9"/>
    <w:rsid w:val="1B1957F6"/>
    <w:rsid w:val="1BD36519"/>
    <w:rsid w:val="1CA4119E"/>
    <w:rsid w:val="1CA52F2E"/>
    <w:rsid w:val="1CF2103B"/>
    <w:rsid w:val="1CF45C64"/>
    <w:rsid w:val="1CFA2B4A"/>
    <w:rsid w:val="1D6F628A"/>
    <w:rsid w:val="1DFE370B"/>
    <w:rsid w:val="1E3630B9"/>
    <w:rsid w:val="1E521C95"/>
    <w:rsid w:val="1E802E31"/>
    <w:rsid w:val="1EA448B6"/>
    <w:rsid w:val="1EF55459"/>
    <w:rsid w:val="1F650097"/>
    <w:rsid w:val="20773FE0"/>
    <w:rsid w:val="2117571C"/>
    <w:rsid w:val="223C1A62"/>
    <w:rsid w:val="23515A2A"/>
    <w:rsid w:val="2362114F"/>
    <w:rsid w:val="237421CE"/>
    <w:rsid w:val="23B56953"/>
    <w:rsid w:val="243052D8"/>
    <w:rsid w:val="24E616B7"/>
    <w:rsid w:val="263230B0"/>
    <w:rsid w:val="26EEC2B5"/>
    <w:rsid w:val="275248A8"/>
    <w:rsid w:val="28272831"/>
    <w:rsid w:val="28951AEC"/>
    <w:rsid w:val="291F3029"/>
    <w:rsid w:val="292C5365"/>
    <w:rsid w:val="29472309"/>
    <w:rsid w:val="29B752B5"/>
    <w:rsid w:val="2A7136B5"/>
    <w:rsid w:val="2A886412"/>
    <w:rsid w:val="2B406E77"/>
    <w:rsid w:val="2C2A0C43"/>
    <w:rsid w:val="2C310F2D"/>
    <w:rsid w:val="2C5A5E4C"/>
    <w:rsid w:val="2C8D19EC"/>
    <w:rsid w:val="2CB9270E"/>
    <w:rsid w:val="2CC64C2B"/>
    <w:rsid w:val="2D1E73A5"/>
    <w:rsid w:val="2D925C1A"/>
    <w:rsid w:val="302A10D6"/>
    <w:rsid w:val="307E4B7E"/>
    <w:rsid w:val="312937BF"/>
    <w:rsid w:val="313F5224"/>
    <w:rsid w:val="32717154"/>
    <w:rsid w:val="33F40C84"/>
    <w:rsid w:val="34275D73"/>
    <w:rsid w:val="34481BC6"/>
    <w:rsid w:val="34B63260"/>
    <w:rsid w:val="34BA75DD"/>
    <w:rsid w:val="34EF2D61"/>
    <w:rsid w:val="356807F6"/>
    <w:rsid w:val="358313CF"/>
    <w:rsid w:val="36BA426A"/>
    <w:rsid w:val="371C7AD4"/>
    <w:rsid w:val="37EA5A06"/>
    <w:rsid w:val="37FDA7E2"/>
    <w:rsid w:val="3889750A"/>
    <w:rsid w:val="39361F4D"/>
    <w:rsid w:val="393C3B70"/>
    <w:rsid w:val="3A314D88"/>
    <w:rsid w:val="3A3515B6"/>
    <w:rsid w:val="3A746883"/>
    <w:rsid w:val="3ABD474F"/>
    <w:rsid w:val="3B5A74FE"/>
    <w:rsid w:val="3BA47C00"/>
    <w:rsid w:val="3BC2526D"/>
    <w:rsid w:val="3CA15DE9"/>
    <w:rsid w:val="3CA43AA4"/>
    <w:rsid w:val="3CF96FCC"/>
    <w:rsid w:val="3D503033"/>
    <w:rsid w:val="3D6D63E9"/>
    <w:rsid w:val="3EDF03E0"/>
    <w:rsid w:val="3EF04CBA"/>
    <w:rsid w:val="3FE61EE5"/>
    <w:rsid w:val="4011062E"/>
    <w:rsid w:val="404C5F9D"/>
    <w:rsid w:val="406508EE"/>
    <w:rsid w:val="408D6263"/>
    <w:rsid w:val="40AA1E36"/>
    <w:rsid w:val="41436E33"/>
    <w:rsid w:val="416D5137"/>
    <w:rsid w:val="41B40CEE"/>
    <w:rsid w:val="41C456AC"/>
    <w:rsid w:val="42815E21"/>
    <w:rsid w:val="42ED552C"/>
    <w:rsid w:val="43132846"/>
    <w:rsid w:val="447E4E00"/>
    <w:rsid w:val="44C065E6"/>
    <w:rsid w:val="46077FCF"/>
    <w:rsid w:val="4690572A"/>
    <w:rsid w:val="46A0754B"/>
    <w:rsid w:val="47011AD0"/>
    <w:rsid w:val="47CD70CB"/>
    <w:rsid w:val="48317291"/>
    <w:rsid w:val="485F7024"/>
    <w:rsid w:val="4874322D"/>
    <w:rsid w:val="48E57BA9"/>
    <w:rsid w:val="48E70666"/>
    <w:rsid w:val="49186483"/>
    <w:rsid w:val="49494E63"/>
    <w:rsid w:val="49B35155"/>
    <w:rsid w:val="4A664B17"/>
    <w:rsid w:val="4A9A11E3"/>
    <w:rsid w:val="4B780D88"/>
    <w:rsid w:val="4C6877E5"/>
    <w:rsid w:val="4D6057F3"/>
    <w:rsid w:val="4D6A468D"/>
    <w:rsid w:val="4D6B1443"/>
    <w:rsid w:val="4DAD1E51"/>
    <w:rsid w:val="4E353B3F"/>
    <w:rsid w:val="4E5A591B"/>
    <w:rsid w:val="4EA86137"/>
    <w:rsid w:val="4EB8410B"/>
    <w:rsid w:val="4EDA73C6"/>
    <w:rsid w:val="4EEF2FE6"/>
    <w:rsid w:val="4F341B9C"/>
    <w:rsid w:val="4F3A7D22"/>
    <w:rsid w:val="4F4A7428"/>
    <w:rsid w:val="4FD74DD9"/>
    <w:rsid w:val="4FDD2263"/>
    <w:rsid w:val="503327B1"/>
    <w:rsid w:val="52176609"/>
    <w:rsid w:val="52CC371E"/>
    <w:rsid w:val="52F618AE"/>
    <w:rsid w:val="533563BC"/>
    <w:rsid w:val="54362B0F"/>
    <w:rsid w:val="54531DD3"/>
    <w:rsid w:val="54D608F9"/>
    <w:rsid w:val="54E2165B"/>
    <w:rsid w:val="550A4C73"/>
    <w:rsid w:val="552F3A67"/>
    <w:rsid w:val="5575315D"/>
    <w:rsid w:val="561B2FBD"/>
    <w:rsid w:val="5679775E"/>
    <w:rsid w:val="568038E1"/>
    <w:rsid w:val="56CA7FD0"/>
    <w:rsid w:val="570028E2"/>
    <w:rsid w:val="5738713F"/>
    <w:rsid w:val="579121B2"/>
    <w:rsid w:val="57B7278E"/>
    <w:rsid w:val="57CE7DA8"/>
    <w:rsid w:val="57FA38D1"/>
    <w:rsid w:val="58B63227"/>
    <w:rsid w:val="599E1A5B"/>
    <w:rsid w:val="5A934594"/>
    <w:rsid w:val="5AA10885"/>
    <w:rsid w:val="5AF268FF"/>
    <w:rsid w:val="5AFD288C"/>
    <w:rsid w:val="5B801C9D"/>
    <w:rsid w:val="5B9B1386"/>
    <w:rsid w:val="5C2859F6"/>
    <w:rsid w:val="5C29399B"/>
    <w:rsid w:val="5CE66738"/>
    <w:rsid w:val="5D1407FA"/>
    <w:rsid w:val="5D6F0911"/>
    <w:rsid w:val="5DB97C57"/>
    <w:rsid w:val="5EAB62CD"/>
    <w:rsid w:val="5F7D3333"/>
    <w:rsid w:val="5FE65054"/>
    <w:rsid w:val="604D567A"/>
    <w:rsid w:val="607C2DF1"/>
    <w:rsid w:val="60AC370E"/>
    <w:rsid w:val="61385890"/>
    <w:rsid w:val="62C45B27"/>
    <w:rsid w:val="62EB4B22"/>
    <w:rsid w:val="631F458A"/>
    <w:rsid w:val="649F5446"/>
    <w:rsid w:val="65113CA8"/>
    <w:rsid w:val="65F91C92"/>
    <w:rsid w:val="66CB7948"/>
    <w:rsid w:val="66EE37E2"/>
    <w:rsid w:val="687436E1"/>
    <w:rsid w:val="68D533AD"/>
    <w:rsid w:val="69A3704F"/>
    <w:rsid w:val="6B626AE5"/>
    <w:rsid w:val="6BA4511B"/>
    <w:rsid w:val="6BBF78D7"/>
    <w:rsid w:val="6BCF2CA8"/>
    <w:rsid w:val="6CE50EB6"/>
    <w:rsid w:val="6D3F17A2"/>
    <w:rsid w:val="6D816452"/>
    <w:rsid w:val="6DA45C50"/>
    <w:rsid w:val="6DDA7FEB"/>
    <w:rsid w:val="6E9A7825"/>
    <w:rsid w:val="6EA37FDA"/>
    <w:rsid w:val="6EB66DC2"/>
    <w:rsid w:val="6F670F9B"/>
    <w:rsid w:val="6FB94BFF"/>
    <w:rsid w:val="704C5077"/>
    <w:rsid w:val="708E4C2A"/>
    <w:rsid w:val="70A13C09"/>
    <w:rsid w:val="70AE2C5E"/>
    <w:rsid w:val="72747EAE"/>
    <w:rsid w:val="737450E0"/>
    <w:rsid w:val="73F40173"/>
    <w:rsid w:val="74054476"/>
    <w:rsid w:val="74057058"/>
    <w:rsid w:val="74107DB5"/>
    <w:rsid w:val="742F38C4"/>
    <w:rsid w:val="742F7047"/>
    <w:rsid w:val="746A591F"/>
    <w:rsid w:val="74AB66DC"/>
    <w:rsid w:val="74C4154C"/>
    <w:rsid w:val="750F7D10"/>
    <w:rsid w:val="7519281D"/>
    <w:rsid w:val="756404B6"/>
    <w:rsid w:val="75956FFF"/>
    <w:rsid w:val="76CB5F86"/>
    <w:rsid w:val="77224E88"/>
    <w:rsid w:val="778F3FEB"/>
    <w:rsid w:val="77AA2D01"/>
    <w:rsid w:val="77AE27B9"/>
    <w:rsid w:val="78AE1448"/>
    <w:rsid w:val="7AD46B38"/>
    <w:rsid w:val="7B275012"/>
    <w:rsid w:val="7C60325D"/>
    <w:rsid w:val="7C6E47C0"/>
    <w:rsid w:val="7C7B3D9D"/>
    <w:rsid w:val="7C806A1E"/>
    <w:rsid w:val="7C826812"/>
    <w:rsid w:val="7CDE1DBD"/>
    <w:rsid w:val="7D943A85"/>
    <w:rsid w:val="7DB0448C"/>
    <w:rsid w:val="7DB90470"/>
    <w:rsid w:val="7E5F9AA4"/>
    <w:rsid w:val="7E79469F"/>
    <w:rsid w:val="7E8C6137"/>
    <w:rsid w:val="7F5A1E01"/>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7186</Words>
  <Characters>10522</Characters>
  <Lines>67</Lines>
  <Paragraphs>18</Paragraphs>
  <TotalTime>3</TotalTime>
  <ScaleCrop>false</ScaleCrop>
  <LinksUpToDate>false</LinksUpToDate>
  <CharactersWithSpaces>10608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2026-02-02T11:17:12Z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