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申扎县政法委机关2024年度部门决算公开报告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pStyle w:val="15"/>
        <w:tabs>
          <w:tab w:val="right" w:leader="dot" w:pos="8306"/>
        </w:tabs>
        <w:spacing w:line="578" w:lineRule="exact"/>
        <w:rPr>
          <w:rFonts w:hint="eastAsia" w:ascii="黑体" w:hAnsi="ˎ̥"/>
          <w:b/>
          <w:sz w:val="32"/>
          <w:szCs w:val="32"/>
        </w:rPr>
      </w:pPr>
      <w:bookmarkStart w:id="0" w:name="_Toc11440_WPSOffice_Type2"/>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32433_WPSOffice_Level1"/>
      <w:bookmarkStart w:id="4" w:name="_Toc23465_WPSOffice_Level1"/>
      <w:bookmarkStart w:id="5" w:name="_Toc22941_WPSOffice_Level1"/>
      <w:bookmarkStart w:id="6" w:name="_Toc1704_WPSOffice_Level1"/>
      <w:bookmarkStart w:id="7" w:name="_Toc10049_WPSOffice_Level1"/>
      <w:bookmarkStart w:id="8" w:name="_Toc24238_WPSOffice_Level2"/>
      <w:bookmarkStart w:id="9" w:name="_Toc20205_WPSOffice_Level2"/>
      <w:bookmarkStart w:id="10" w:name="_Toc26580_WPSOffice_Level2"/>
      <w:bookmarkStart w:id="11" w:name="_Toc32622_WPSOffice_Level2"/>
      <w:bookmarkStart w:id="12" w:name="_Toc20274_WPSOffice_Level2"/>
      <w:bookmarkStart w:id="13" w:name="_Toc14159_WPSOffice_Level2"/>
    </w:p>
    <w:bookmarkEnd w:id="2"/>
    <w:bookmarkEnd w:id="3"/>
    <w:bookmarkEnd w:id="4"/>
    <w:bookmarkEnd w:id="5"/>
    <w:bookmarkEnd w:id="6"/>
    <w:bookmarkEnd w:id="7"/>
    <w:bookmarkEnd w:id="8"/>
    <w:bookmarkEnd w:id="9"/>
    <w:bookmarkEnd w:id="10"/>
    <w:bookmarkEnd w:id="11"/>
    <w:bookmarkEnd w:id="12"/>
    <w:bookmarkEnd w:id="13"/>
    <w:p>
      <w:pPr>
        <w:spacing w:line="578" w:lineRule="exact"/>
        <w:jc w:val="center"/>
        <w:rPr>
          <w:rFonts w:hint="eastAsia" w:ascii="黑体" w:hAnsi="ˎ̥" w:eastAsia="黑体"/>
          <w:sz w:val="32"/>
          <w:szCs w:val="32"/>
        </w:rPr>
      </w:pPr>
    </w:p>
    <w:p>
      <w:pPr>
        <w:keepNext w:val="0"/>
        <w:keepLines w:val="0"/>
        <w:widowControl/>
        <w:suppressLineNumbers w:val="0"/>
        <w:jc w:val="left"/>
        <w:rPr>
          <w:rFonts w:hint="eastAsia" w:ascii="仿宋_GB2312" w:hAnsi="ˎ̥" w:eastAsia="仿宋_GB2312"/>
          <w:sz w:val="32"/>
          <w:szCs w:val="32"/>
          <w:lang w:val="en-US" w:eastAsia="zh-CN"/>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w:t>
      </w:r>
      <w:r>
        <w:rPr>
          <w:rFonts w:hint="eastAsia" w:ascii="仿宋_GB2312" w:hAnsi="ˎ̥" w:eastAsia="仿宋_GB2312"/>
          <w:sz w:val="32"/>
          <w:szCs w:val="32"/>
          <w:lang w:val="en-US" w:eastAsia="zh-CN"/>
        </w:rPr>
        <w:t>总计</w:t>
      </w:r>
      <w:r>
        <w:rPr>
          <w:rFonts w:hint="default" w:ascii="仿宋_GB2312" w:hAnsi="ˎ̥" w:eastAsia="仿宋_GB2312"/>
          <w:sz w:val="32"/>
          <w:szCs w:val="32"/>
          <w:lang w:val="en-US" w:eastAsia="zh-CN"/>
        </w:rPr>
        <w:t>601.</w:t>
      </w:r>
      <w:bookmarkStart w:id="32" w:name="_GoBack"/>
      <w:bookmarkEnd w:id="32"/>
      <w:r>
        <w:rPr>
          <w:rFonts w:hint="default" w:ascii="仿宋_GB2312" w:hAnsi="ˎ̥" w:eastAsia="仿宋_GB2312"/>
          <w:sz w:val="32"/>
          <w:szCs w:val="32"/>
          <w:lang w:val="en-US" w:eastAsia="zh-CN"/>
        </w:rPr>
        <w:t>94</w:t>
      </w:r>
      <w:r>
        <w:rPr>
          <w:rFonts w:hint="eastAsia" w:ascii="仿宋_GB2312" w:hAnsi="ˎ̥" w:eastAsia="仿宋_GB2312"/>
          <w:sz w:val="32"/>
          <w:szCs w:val="32"/>
          <w:lang w:val="en-US" w:eastAsia="zh-CN"/>
        </w:rPr>
        <w:t>万元，支出总计</w:t>
      </w:r>
      <w:r>
        <w:rPr>
          <w:rFonts w:hint="default" w:ascii="仿宋_GB2312" w:hAnsi="ˎ̥" w:eastAsia="仿宋_GB2312"/>
          <w:sz w:val="32"/>
          <w:szCs w:val="32"/>
          <w:lang w:val="en-US" w:eastAsia="zh-CN"/>
        </w:rPr>
        <w:t>601.94</w:t>
      </w:r>
      <w:r>
        <w:rPr>
          <w:rFonts w:hint="eastAsia" w:ascii="仿宋_GB2312" w:hAnsi="ˎ̥" w:eastAsia="仿宋_GB2312"/>
          <w:sz w:val="32"/>
          <w:szCs w:val="32"/>
          <w:lang w:val="en-US" w:eastAsia="zh-CN"/>
        </w:rPr>
        <w:t xml:space="preserve"> 万元，与</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年度相比，收入增加18.33万元、支出总计各减7.3 万元，增长（下降）4.13%。</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sz w:val="32"/>
          <w:szCs w:val="32"/>
          <w:lang w:val="en-US"/>
        </w:rPr>
        <w:t>601.94</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601.94</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sz w:val="32"/>
          <w:szCs w:val="32"/>
          <w:lang w:val="en-US"/>
        </w:rPr>
        <w:t>601.94</w:t>
      </w:r>
      <w:r>
        <w:rPr>
          <w:rFonts w:hint="eastAsia" w:ascii="仿宋_GB2312" w:hAnsi="ˎ̥" w:eastAsia="仿宋_GB2312"/>
          <w:sz w:val="32"/>
          <w:szCs w:val="32"/>
        </w:rPr>
        <w:t>万元，其中：财政拨款收入</w:t>
      </w:r>
      <w:r>
        <w:rPr>
          <w:rFonts w:hint="default" w:ascii="仿宋_GB2312" w:hAnsi="ˎ̥" w:eastAsia="仿宋_GB2312"/>
          <w:sz w:val="32"/>
          <w:szCs w:val="32"/>
          <w:lang w:val="en-US"/>
        </w:rPr>
        <w:t>601.94</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%；上级补助收入</w:t>
      </w:r>
      <w:r>
        <w:rPr>
          <w:rFonts w:hint="eastAsia" w:ascii="仿宋_GB2312" w:hAnsi="ˎ̥" w:eastAsia="仿宋_GB2312"/>
          <w:sz w:val="32"/>
          <w:szCs w:val="32"/>
          <w:lang w:val="en-US" w:eastAsia="zh-CN"/>
        </w:rPr>
        <w:t>601.94</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601.94</w:t>
      </w:r>
      <w:r>
        <w:rPr>
          <w:rFonts w:hint="eastAsia" w:ascii="仿宋_GB2312" w:hAnsi="ˎ̥" w:eastAsia="仿宋_GB2312"/>
          <w:sz w:val="32"/>
          <w:szCs w:val="32"/>
        </w:rPr>
        <w:t>万元，其中：基本支出</w:t>
      </w:r>
      <w:r>
        <w:rPr>
          <w:rFonts w:hint="default" w:ascii="仿宋_GB2312" w:hAnsi="ˎ̥" w:eastAsia="仿宋_GB2312"/>
          <w:sz w:val="32"/>
          <w:szCs w:val="32"/>
          <w:lang w:val="en-US"/>
        </w:rPr>
        <w:t>284.51</w:t>
      </w:r>
      <w:r>
        <w:rPr>
          <w:rFonts w:hint="eastAsia" w:ascii="仿宋_GB2312" w:hAnsi="ˎ̥" w:eastAsia="仿宋_GB2312"/>
          <w:sz w:val="32"/>
          <w:szCs w:val="32"/>
        </w:rPr>
        <w:t>万元，占</w:t>
      </w:r>
      <w:r>
        <w:rPr>
          <w:rFonts w:hint="eastAsia" w:ascii="仿宋_GB2312" w:hAnsi="ˎ̥" w:eastAsia="仿宋_GB2312"/>
          <w:sz w:val="32"/>
          <w:szCs w:val="32"/>
          <w:lang w:val="en-US" w:eastAsia="zh-CN"/>
        </w:rPr>
        <w:t>47.2655</w:t>
      </w:r>
      <w:r>
        <w:rPr>
          <w:rFonts w:hint="eastAsia" w:ascii="仿宋_GB2312" w:hAnsi="ˎ̥" w:eastAsia="仿宋_GB2312"/>
          <w:sz w:val="32"/>
          <w:szCs w:val="32"/>
        </w:rPr>
        <w:t>%；项目支出</w:t>
      </w:r>
      <w:r>
        <w:rPr>
          <w:rFonts w:hint="default" w:ascii="仿宋_GB2312" w:hAnsi="ˎ̥" w:eastAsia="仿宋_GB2312"/>
          <w:sz w:val="32"/>
          <w:szCs w:val="32"/>
          <w:lang w:val="en-US"/>
        </w:rPr>
        <w:t>317.43</w:t>
      </w:r>
      <w:r>
        <w:rPr>
          <w:rFonts w:hint="eastAsia" w:ascii="仿宋_GB2312" w:hAnsi="ˎ̥" w:eastAsia="仿宋_GB2312"/>
          <w:sz w:val="32"/>
          <w:szCs w:val="32"/>
        </w:rPr>
        <w:t>万元，占</w:t>
      </w:r>
      <w:r>
        <w:rPr>
          <w:rFonts w:hint="eastAsia" w:ascii="仿宋_GB2312" w:hAnsi="ˎ̥" w:eastAsia="仿宋_GB2312"/>
          <w:sz w:val="32"/>
          <w:szCs w:val="32"/>
          <w:lang w:val="en-US" w:eastAsia="zh-CN"/>
        </w:rPr>
        <w:t>61.7055</w:t>
      </w:r>
      <w:r>
        <w:rPr>
          <w:rFonts w:hint="eastAsia" w:ascii="仿宋_GB2312" w:hAnsi="ˎ̥" w:eastAsia="仿宋_GB2312"/>
          <w:sz w:val="32"/>
          <w:szCs w:val="32"/>
        </w:rPr>
        <w:t>%；上缴上级支出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sz w:val="32"/>
          <w:szCs w:val="32"/>
          <w:lang w:val="en-US"/>
        </w:rPr>
        <w:t>601.94</w:t>
      </w:r>
      <w:r>
        <w:rPr>
          <w:rFonts w:hint="eastAsia" w:ascii="仿宋_GB2312" w:hAnsi="ˎ̥" w:eastAsia="仿宋_GB2312"/>
          <w:sz w:val="32"/>
          <w:szCs w:val="32"/>
        </w:rPr>
        <w:t>万元，支出</w:t>
      </w:r>
      <w:r>
        <w:rPr>
          <w:rFonts w:hint="default" w:ascii="仿宋_GB2312" w:hAnsi="ˎ̥" w:eastAsia="仿宋_GB2312"/>
          <w:sz w:val="32"/>
          <w:szCs w:val="32"/>
          <w:lang w:val="en-US"/>
        </w:rPr>
        <w:t>601.94</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sz w:val="32"/>
          <w:szCs w:val="32"/>
          <w:lang w:val="en-US" w:eastAsia="zh-CN"/>
        </w:rPr>
        <w:t>18.33</w:t>
      </w:r>
      <w:r>
        <w:rPr>
          <w:rFonts w:hint="eastAsia" w:ascii="仿宋_GB2312" w:hAnsi="ˎ̥" w:eastAsia="仿宋_GB2312"/>
          <w:sz w:val="32"/>
          <w:szCs w:val="32"/>
        </w:rPr>
        <w:t>万元，支出</w:t>
      </w:r>
      <w:r>
        <w:rPr>
          <w:rFonts w:hint="eastAsia" w:ascii="仿宋_GB2312" w:hAnsi="ˎ̥" w:eastAsia="仿宋_GB2312"/>
          <w:sz w:val="32"/>
          <w:szCs w:val="32"/>
          <w:lang w:eastAsia="zh-CN"/>
        </w:rPr>
        <w:t>增加</w:t>
      </w:r>
      <w:r>
        <w:rPr>
          <w:rFonts w:hint="eastAsia" w:ascii="仿宋_GB2312" w:hAnsi="ˎ̥" w:eastAsia="仿宋_GB2312"/>
          <w:sz w:val="32"/>
          <w:szCs w:val="32"/>
          <w:lang w:val="en-US" w:eastAsia="zh-CN"/>
        </w:rPr>
        <w:t>7.</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14" w:name="_Toc17398_WPSOffice_Level2"/>
      <w:bookmarkStart w:id="15" w:name="_Toc21737_WPSOffice_Level2"/>
      <w:bookmarkStart w:id="16" w:name="_Toc19665_WPSOffice_Level2"/>
      <w:bookmarkStart w:id="17" w:name="_Toc23005_WPSOffice_Level2"/>
      <w:bookmarkStart w:id="18" w:name="_Toc9989_WPSOffice_Level2"/>
      <w:bookmarkStart w:id="19" w:name="_Toc13694_WPSOffice_Level2"/>
      <w:r>
        <w:rPr>
          <w:rFonts w:hint="eastAsia" w:ascii="楷体" w:hAnsi="楷体" w:eastAsia="楷体" w:cs="楷体"/>
          <w:sz w:val="32"/>
          <w:szCs w:val="32"/>
        </w:rPr>
        <w:t>（一）一般公共预算财政拨款支出决算总体情况</w:t>
      </w:r>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w:t>
      </w:r>
      <w:r>
        <w:rPr>
          <w:rFonts w:hint="eastAsia" w:ascii="楷体" w:hAnsi="楷体" w:eastAsia="楷体" w:cs="楷体"/>
          <w:sz w:val="32"/>
          <w:szCs w:val="32"/>
        </w:rPr>
        <w:t>支出</w:t>
      </w:r>
      <w:r>
        <w:rPr>
          <w:rFonts w:hint="default" w:ascii="楷体" w:hAnsi="楷体" w:eastAsia="楷体" w:cs="楷体"/>
          <w:sz w:val="32"/>
          <w:szCs w:val="32"/>
          <w:lang w:val="en-US"/>
        </w:rPr>
        <w:t>601.94</w:t>
      </w:r>
      <w:r>
        <w:rPr>
          <w:rFonts w:hint="eastAsia" w:ascii="楷体" w:hAnsi="楷体" w:eastAsia="楷体" w:cs="楷体"/>
          <w:sz w:val="32"/>
          <w:szCs w:val="32"/>
        </w:rPr>
        <w:t>万元，占本年支出合计的</w:t>
      </w:r>
      <w:r>
        <w:rPr>
          <w:rFonts w:hint="eastAsia" w:ascii="楷体" w:hAnsi="楷体" w:eastAsia="楷体" w:cs="楷体"/>
          <w:sz w:val="32"/>
          <w:szCs w:val="32"/>
          <w:lang w:val="en-US" w:eastAsia="zh-CN"/>
        </w:rPr>
        <w:t>100</w:t>
      </w:r>
      <w:r>
        <w:rPr>
          <w:rFonts w:hint="eastAsia" w:ascii="楷体" w:hAnsi="楷体" w:eastAsia="楷体" w:cs="楷体"/>
          <w:sz w:val="32"/>
          <w:szCs w:val="32"/>
        </w:rPr>
        <w:t>%。</w:t>
      </w:r>
      <w:r>
        <w:rPr>
          <w:rFonts w:hint="default" w:ascii="楷体" w:hAnsi="楷体" w:eastAsia="楷体" w:cs="楷体"/>
          <w:sz w:val="32"/>
          <w:szCs w:val="32"/>
          <w:lang w:val="en-US"/>
        </w:rPr>
        <w:t>2024</w:t>
      </w:r>
      <w:r>
        <w:rPr>
          <w:rFonts w:hint="eastAsia" w:ascii="楷体" w:hAnsi="楷体" w:eastAsia="楷体" w:cs="楷体"/>
          <w:sz w:val="32"/>
          <w:szCs w:val="32"/>
        </w:rPr>
        <w:t>年度一般公共预算财政拨款支出</w:t>
      </w:r>
      <w:r>
        <w:rPr>
          <w:rFonts w:hint="default" w:ascii="楷体" w:hAnsi="楷体" w:eastAsia="楷体" w:cs="楷体"/>
          <w:sz w:val="32"/>
          <w:szCs w:val="32"/>
          <w:lang w:val="en-US"/>
        </w:rPr>
        <w:t>601.94</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lang w:val="en-US"/>
        </w:rPr>
        <w:t>支出</w:t>
      </w:r>
      <w:r>
        <w:rPr>
          <w:rFonts w:hint="eastAsia" w:ascii="仿宋_GB2312" w:hAnsi="ˎ̥" w:eastAsia="仿宋_GB2312"/>
          <w:sz w:val="32"/>
          <w:szCs w:val="32"/>
          <w:lang w:val="en-US" w:eastAsia="zh-CN"/>
        </w:rPr>
        <w:t>542.71</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90.16</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lang w:val="en-US" w:eastAsia="zh-CN"/>
        </w:rPr>
        <w:t>支出23.22 万元，占3.86%；</w:t>
      </w:r>
      <w:r>
        <w:rPr>
          <w:rFonts w:hint="eastAsia" w:ascii="仿宋_GB2312" w:hAnsi="ˎ̥" w:eastAsia="仿宋_GB2312"/>
          <w:b/>
          <w:bCs/>
          <w:sz w:val="32"/>
          <w:szCs w:val="32"/>
        </w:rPr>
        <w:t>住房保障（类）</w:t>
      </w:r>
      <w:r>
        <w:rPr>
          <w:rFonts w:hint="eastAsia" w:ascii="仿宋_GB2312" w:hAnsi="ˎ̥" w:eastAsia="仿宋_GB2312"/>
          <w:sz w:val="32"/>
          <w:szCs w:val="32"/>
          <w:lang w:val="en-US" w:eastAsia="zh-CN"/>
        </w:rPr>
        <w:t>支出18.63 万元</w:t>
      </w:r>
      <w:r>
        <w:rPr>
          <w:rFonts w:hint="eastAsia" w:ascii="仿宋_GB2312" w:hAnsi="ˎ̥" w:eastAsia="仿宋_GB2312"/>
          <w:sz w:val="32"/>
          <w:szCs w:val="32"/>
        </w:rPr>
        <w:t>，</w:t>
      </w:r>
      <w:r>
        <w:rPr>
          <w:rFonts w:hint="eastAsia" w:ascii="仿宋_GB2312" w:hAnsi="ˎ̥" w:eastAsia="仿宋_GB2312"/>
          <w:sz w:val="32"/>
          <w:szCs w:val="32"/>
          <w:lang w:val="en-US" w:eastAsia="zh-CN"/>
        </w:rPr>
        <w:t>占3.09</w:t>
      </w:r>
      <w:r>
        <w:rPr>
          <w:rFonts w:hint="eastAsia" w:ascii="仿宋_GB2312" w:hAnsi="ˎ̥" w:eastAsia="仿宋_GB2312"/>
          <w:sz w:val="32"/>
          <w:szCs w:val="32"/>
        </w:rPr>
        <w:t>%；</w:t>
      </w:r>
      <w:r>
        <w:rPr>
          <w:rFonts w:hint="eastAsia" w:ascii="仿宋_GB2312" w:hAnsi="ˎ̥" w:eastAsia="仿宋_GB2312"/>
          <w:b/>
          <w:sz w:val="32"/>
          <w:szCs w:val="32"/>
          <w:lang w:val="en-US" w:eastAsia="zh-CN"/>
        </w:rPr>
        <w:t>公共安全(类）支出</w:t>
      </w:r>
      <w:r>
        <w:rPr>
          <w:rFonts w:hint="eastAsia" w:ascii="仿宋_GB2312" w:hAnsi="ˎ̥" w:eastAsia="仿宋_GB2312"/>
          <w:sz w:val="32"/>
          <w:szCs w:val="32"/>
          <w:lang w:val="en-US" w:eastAsia="zh-CN"/>
        </w:rPr>
        <w:t>4.74 万元，占0.7874%。</w:t>
      </w:r>
      <w:r>
        <w:rPr>
          <w:rFonts w:hint="eastAsia" w:ascii="仿宋_GB2312" w:hAnsi="ˎ̥" w:eastAsia="仿宋_GB2312"/>
          <w:b/>
          <w:sz w:val="32"/>
          <w:szCs w:val="32"/>
          <w:lang w:val="en-US" w:eastAsia="zh-CN"/>
        </w:rPr>
        <w:t>卫生健康(类）支出</w:t>
      </w:r>
      <w:r>
        <w:rPr>
          <w:rFonts w:hint="eastAsia" w:ascii="仿宋_GB2312" w:hAnsi="ˎ̥" w:eastAsia="仿宋_GB2312"/>
          <w:sz w:val="32"/>
          <w:szCs w:val="32"/>
          <w:lang w:val="en-US" w:eastAsia="zh-CN"/>
        </w:rPr>
        <w:t xml:space="preserve"> 12.63 万元，占2.0982%。住房保障支出18.63万元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20" w:name="_Toc21701_WPSOffice_Level2"/>
      <w:bookmarkStart w:id="21" w:name="_Toc29364_WPSOffice_Level2"/>
      <w:bookmarkStart w:id="22" w:name="_Toc25136_WPSOffice_Level2"/>
      <w:bookmarkStart w:id="23" w:name="_Toc15415_WPSOffice_Level2"/>
      <w:bookmarkStart w:id="24" w:name="_Toc22318_WPSOffice_Level2"/>
      <w:bookmarkStart w:id="25" w:name="_Toc9502_WPSOffice_Level2"/>
      <w:r>
        <w:rPr>
          <w:rFonts w:hint="eastAsia" w:ascii="楷体" w:hAnsi="楷体" w:eastAsia="楷体" w:cs="楷体"/>
          <w:sz w:val="32"/>
          <w:szCs w:val="32"/>
        </w:rPr>
        <w:t>（三）一般公共预算财政拨款支出决算具体情况</w:t>
      </w:r>
      <w:bookmarkEnd w:id="20"/>
      <w:bookmarkEnd w:id="21"/>
      <w:bookmarkEnd w:id="22"/>
      <w:bookmarkEnd w:id="23"/>
      <w:bookmarkEnd w:id="24"/>
      <w:bookmarkEnd w:id="25"/>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550.55</w:t>
      </w:r>
      <w:r>
        <w:rPr>
          <w:rFonts w:hint="eastAsia" w:ascii="仿宋_GB2312" w:hAnsi="ˎ̥" w:eastAsia="仿宋_GB2312"/>
          <w:sz w:val="32"/>
          <w:szCs w:val="32"/>
        </w:rPr>
        <w:t>万元，支出决算为</w:t>
      </w:r>
      <w:r>
        <w:rPr>
          <w:rFonts w:hint="default" w:ascii="仿宋_GB2312" w:hAnsi="ˎ̥" w:eastAsia="仿宋_GB2312"/>
          <w:sz w:val="32"/>
          <w:szCs w:val="32"/>
          <w:lang w:val="en-US"/>
        </w:rPr>
        <w:t>601.94</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101.09</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eastAsia="zh-CN"/>
        </w:rPr>
        <w:t>601.9</w:t>
      </w:r>
      <w:r>
        <w:rPr>
          <w:rFonts w:hint="eastAsia" w:ascii="仿宋_GB2312" w:hAnsi="ˎ̥" w:eastAsia="仿宋_GB2312"/>
          <w:sz w:val="32"/>
          <w:szCs w:val="32"/>
        </w:rPr>
        <w:t>万元，其中：人员经费</w:t>
      </w:r>
      <w:r>
        <w:rPr>
          <w:rFonts w:hint="eastAsia" w:ascii="仿宋_GB2312" w:hAnsi="ˎ̥" w:eastAsia="仿宋_GB2312"/>
          <w:sz w:val="32"/>
          <w:szCs w:val="32"/>
          <w:lang w:val="en-US" w:eastAsia="zh-CN"/>
        </w:rPr>
        <w:t>234.16</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rPr>
        <w:t>52.79</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w:t>
      </w:r>
      <w:r>
        <w:rPr>
          <w:rFonts w:hint="eastAsia" w:ascii="仿宋_GB2312" w:hAnsi="ˎ̥" w:eastAsia="仿宋_GB2312"/>
          <w:sz w:val="32"/>
          <w:szCs w:val="32"/>
        </w:rPr>
        <w:t>政拨款支出</w:t>
      </w:r>
      <w:r>
        <w:rPr>
          <w:rFonts w:hint="eastAsia" w:ascii="楷体" w:hAnsi="楷体" w:eastAsia="楷体" w:cs="楷体"/>
          <w:sz w:val="32"/>
          <w:szCs w:val="32"/>
        </w:rPr>
        <w:t>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sz w:val="32"/>
          <w:szCs w:val="32"/>
          <w:lang w:val="en-US" w:eastAsia="zh-CN"/>
        </w:rPr>
        <w:t>0</w:t>
      </w:r>
      <w:r>
        <w:rPr>
          <w:rFonts w:hint="eastAsia" w:ascii="仿宋_GB2312" w:hAnsi="ˎ̥" w:eastAsia="仿宋_GB2312"/>
          <w:sz w:val="32"/>
          <w:szCs w:val="32"/>
        </w:rPr>
        <w:t>（类）</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eastAsia="zh-CN"/>
        </w:rPr>
        <w:t>本单位无政府性基金预算</w:t>
      </w:r>
      <w:r>
        <w:rPr>
          <w:rFonts w:hint="eastAsia" w:ascii="楷体" w:hAnsi="楷体" w:eastAsia="楷体" w:cs="楷体"/>
          <w:sz w:val="32"/>
          <w:szCs w:val="32"/>
          <w:lang w:val="en-US"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楷体"/>
          <w:sz w:val="32"/>
          <w:szCs w:val="32"/>
          <w:lang w:eastAsia="zh-CN"/>
        </w:rPr>
      </w:pPr>
      <w:r>
        <w:rPr>
          <w:rFonts w:hint="eastAsia" w:ascii="楷体" w:hAnsi="楷体" w:eastAsia="楷体" w:cs="楷体"/>
          <w:sz w:val="32"/>
          <w:szCs w:val="32"/>
          <w:lang w:eastAsia="zh-CN"/>
        </w:rPr>
        <w:t>本单位无</w:t>
      </w:r>
      <w:r>
        <w:rPr>
          <w:rFonts w:hint="eastAsia" w:ascii="楷体" w:hAnsi="楷体" w:eastAsia="楷体" w:cs="楷体"/>
          <w:sz w:val="32"/>
          <w:szCs w:val="32"/>
        </w:rPr>
        <w:t>国有资本经营预算</w:t>
      </w:r>
      <w:r>
        <w:rPr>
          <w:rFonts w:hint="eastAsia" w:ascii="楷体" w:hAnsi="楷体" w:eastAsia="楷体" w:cs="楷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sz w:val="32"/>
          <w:szCs w:val="32"/>
          <w:lang w:val="en-US"/>
        </w:rPr>
        <w:t>2.25</w:t>
      </w:r>
      <w:r>
        <w:rPr>
          <w:rFonts w:hint="eastAsia" w:ascii="仿宋_GB2312" w:hAnsi="ˎ̥" w:eastAsia="仿宋_GB2312"/>
          <w:sz w:val="32"/>
          <w:szCs w:val="32"/>
        </w:rPr>
        <w:t>万元，支出决算为</w:t>
      </w:r>
      <w:r>
        <w:rPr>
          <w:rFonts w:hint="default" w:ascii="仿宋_GB2312" w:hAnsi="ˎ̥" w:eastAsia="仿宋_GB2312"/>
          <w:sz w:val="32"/>
          <w:szCs w:val="32"/>
          <w:lang w:val="en-US"/>
        </w:rPr>
        <w:t>2.25</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2.25</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年度相比，“三公”经费支出增加（减少）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sz w:val="32"/>
          <w:szCs w:val="32"/>
          <w:lang w:val="en-US"/>
        </w:rPr>
        <w:t>2.25</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1.因公出国（境）费支出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sz w:val="32"/>
          <w:szCs w:val="32"/>
        </w:rPr>
        <w:t>支出</w:t>
      </w:r>
      <w:r>
        <w:rPr>
          <w:rFonts w:hint="default" w:ascii="仿宋_GB2312" w:hAnsi="ˎ̥" w:eastAsia="仿宋_GB2312"/>
          <w:sz w:val="32"/>
          <w:szCs w:val="32"/>
          <w:lang w:val="en-US"/>
        </w:rPr>
        <w:t>2.25</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sz w:val="32"/>
          <w:szCs w:val="32"/>
          <w:lang w:val="en-US"/>
        </w:rPr>
        <w:t>2.25</w:t>
      </w:r>
      <w:r>
        <w:rPr>
          <w:rFonts w:hint="eastAsia" w:ascii="仿宋_GB2312" w:hAnsi="ˎ̥" w:eastAsia="仿宋_GB2312"/>
          <w:sz w:val="32"/>
          <w:szCs w:val="32"/>
        </w:rPr>
        <w:t>万元，主要用于用</w:t>
      </w:r>
      <w:r>
        <w:rPr>
          <w:rFonts w:hint="eastAsia" w:ascii="仿宋_GB2312" w:hAnsi="ˎ̥" w:eastAsia="仿宋_GB2312"/>
          <w:bCs/>
          <w:sz w:val="32"/>
          <w:szCs w:val="32"/>
        </w:rPr>
        <w:t>车购置及运行维护费支出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val="en-US"/>
        </w:rPr>
      </w:pPr>
      <w:r>
        <w:rPr>
          <w:rFonts w:hint="eastAsia" w:ascii="仿宋_GB2312" w:hAnsi="ˎ̥" w:eastAsia="仿宋_GB2312"/>
          <w:b/>
          <w:sz w:val="32"/>
          <w:szCs w:val="32"/>
        </w:rPr>
        <w:t>国内接待费</w:t>
      </w:r>
      <w:r>
        <w:rPr>
          <w:rFonts w:hint="eastAsia" w:ascii="仿宋_GB2312" w:hAnsi="ˎ̥" w:eastAsia="仿宋_GB2312"/>
          <w:sz w:val="32"/>
          <w:szCs w:val="32"/>
        </w:rPr>
        <w:t>支</w:t>
      </w:r>
      <w:r>
        <w:rPr>
          <w:rFonts w:hint="eastAsia" w:ascii="仿宋_GB2312" w:hAnsi="ˎ̥" w:eastAsia="仿宋_GB2312"/>
          <w:sz w:val="32"/>
          <w:szCs w:val="32"/>
          <w:lang w:val="en-US"/>
        </w:rPr>
        <w:t>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万元，国内公务接待</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val="en-US"/>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万元，国（境）外公务接待</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color w:val="auto"/>
          <w:sz w:val="32"/>
          <w:szCs w:val="32"/>
          <w:lang w:val="en-US" w:eastAsia="zh-CN"/>
        </w:rPr>
      </w:pPr>
      <w:r>
        <w:rPr>
          <w:rFonts w:hint="eastAsia" w:ascii="仿宋_GB2312" w:eastAsia="仿宋_GB2312"/>
          <w:sz w:val="32"/>
          <w:szCs w:val="32"/>
        </w:rPr>
        <w:t>根据财政预算绩效管理要求，</w:t>
      </w:r>
      <w:r>
        <w:rPr>
          <w:rFonts w:hint="eastAsia" w:ascii="仿宋_GB2312" w:eastAsia="仿宋_GB2312"/>
          <w:color w:val="auto"/>
          <w:sz w:val="32"/>
          <w:szCs w:val="32"/>
          <w:lang w:val="en-US" w:eastAsia="zh-CN"/>
        </w:rPr>
        <w:t>2024年度我单位所有项目进行绩效目标填报，且进行绩效自评工作。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下一步改进措施：一是</w:t>
      </w:r>
      <w:r>
        <w:rPr>
          <w:rFonts w:hint="eastAsia" w:ascii="仿宋_GB2312" w:eastAsia="仿宋_GB2312"/>
          <w:color w:val="auto"/>
          <w:sz w:val="32"/>
          <w:szCs w:val="32"/>
          <w:lang w:val="en-US" w:eastAsia="zh-CN"/>
        </w:rPr>
        <w:t>强化责任意识</w:t>
      </w:r>
      <w:r>
        <w:rPr>
          <w:rFonts w:hint="eastAsia" w:ascii="仿宋_GB2312" w:eastAsia="仿宋_GB2312"/>
          <w:color w:val="auto"/>
          <w:sz w:val="32"/>
          <w:szCs w:val="32"/>
        </w:rPr>
        <w:t>；二是</w:t>
      </w:r>
      <w:r>
        <w:rPr>
          <w:rFonts w:hint="eastAsia" w:ascii="仿宋_GB2312" w:eastAsia="仿宋_GB2312"/>
          <w:color w:val="auto"/>
          <w:sz w:val="32"/>
          <w:szCs w:val="32"/>
          <w:lang w:val="en-US" w:eastAsia="zh-CN"/>
        </w:rPr>
        <w:t>完善工作制度；三是加强业务培训；四是建立预警机制；五是严格考核问责</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26" w:name="_Toc15425_WPSOffice_Level1"/>
      <w:bookmarkStart w:id="27" w:name="_Toc8874_WPSOffice_Level1"/>
      <w:bookmarkStart w:id="28" w:name="_Toc11039_WPSOffice_Level1"/>
      <w:bookmarkStart w:id="29" w:name="_Toc8808_WPSOffice_Level1"/>
      <w:bookmarkStart w:id="30" w:name="_Toc17580_WPSOffice_Level1"/>
      <w:bookmarkStart w:id="31" w:name="_Toc439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词解释</w:t>
      </w:r>
      <w:bookmarkEnd w:id="26"/>
      <w:bookmarkEnd w:id="27"/>
      <w:bookmarkEnd w:id="28"/>
      <w:bookmarkEnd w:id="29"/>
      <w:bookmarkEnd w:id="30"/>
      <w:bookmarkEnd w:id="3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B143903"/>
    <w:rsid w:val="0EA418EC"/>
    <w:rsid w:val="0F271524"/>
    <w:rsid w:val="0FC80124"/>
    <w:rsid w:val="136F98C7"/>
    <w:rsid w:val="17427E68"/>
    <w:rsid w:val="1755065F"/>
    <w:rsid w:val="1AFC29C9"/>
    <w:rsid w:val="1CA52F2E"/>
    <w:rsid w:val="1DFE370B"/>
    <w:rsid w:val="1E3630B9"/>
    <w:rsid w:val="22766A22"/>
    <w:rsid w:val="23A14C0A"/>
    <w:rsid w:val="26EEC2B5"/>
    <w:rsid w:val="29472309"/>
    <w:rsid w:val="2B406E77"/>
    <w:rsid w:val="2C2A0C43"/>
    <w:rsid w:val="2CC222FC"/>
    <w:rsid w:val="2D1E73A5"/>
    <w:rsid w:val="31E470A9"/>
    <w:rsid w:val="32717154"/>
    <w:rsid w:val="329B7F05"/>
    <w:rsid w:val="34B63260"/>
    <w:rsid w:val="37FDA7E2"/>
    <w:rsid w:val="38AF17D4"/>
    <w:rsid w:val="3A314D88"/>
    <w:rsid w:val="3A746883"/>
    <w:rsid w:val="3CA15DE9"/>
    <w:rsid w:val="3FE61EE5"/>
    <w:rsid w:val="406508EE"/>
    <w:rsid w:val="408D6263"/>
    <w:rsid w:val="41B40CEE"/>
    <w:rsid w:val="41B54818"/>
    <w:rsid w:val="46FC1FD4"/>
    <w:rsid w:val="48317291"/>
    <w:rsid w:val="485F7024"/>
    <w:rsid w:val="48E70666"/>
    <w:rsid w:val="4A2B7CFC"/>
    <w:rsid w:val="4C6877E5"/>
    <w:rsid w:val="4D6A468D"/>
    <w:rsid w:val="4EA86137"/>
    <w:rsid w:val="56CA7FD0"/>
    <w:rsid w:val="57FA38D1"/>
    <w:rsid w:val="5A197217"/>
    <w:rsid w:val="5F364830"/>
    <w:rsid w:val="5F3E0E16"/>
    <w:rsid w:val="5F7D3333"/>
    <w:rsid w:val="5FD83FF3"/>
    <w:rsid w:val="61385890"/>
    <w:rsid w:val="687436E1"/>
    <w:rsid w:val="6DA45C50"/>
    <w:rsid w:val="6E9A7825"/>
    <w:rsid w:val="6F670F9B"/>
    <w:rsid w:val="727655EB"/>
    <w:rsid w:val="737450E0"/>
    <w:rsid w:val="74054476"/>
    <w:rsid w:val="742F38C4"/>
    <w:rsid w:val="74815CA5"/>
    <w:rsid w:val="74AB66DC"/>
    <w:rsid w:val="74C4154C"/>
    <w:rsid w:val="75956FFF"/>
    <w:rsid w:val="77AA2D01"/>
    <w:rsid w:val="77D60E3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7186</Words>
  <Characters>10522</Characters>
  <Lines>67</Lines>
  <Paragraphs>18</Paragraphs>
  <TotalTime>1</TotalTime>
  <ScaleCrop>false</ScaleCrop>
  <LinksUpToDate>false</LinksUpToDate>
  <CharactersWithSpaces>10608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2026-04-23T13:44:55Z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