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color w:val="auto"/>
          <w:sz w:val="44"/>
          <w:szCs w:val="44"/>
        </w:rPr>
      </w:pPr>
      <w:r>
        <w:rPr>
          <w:rFonts w:hint="eastAsia" w:asciiTheme="majorEastAsia" w:hAnsiTheme="majorEastAsia" w:eastAsiaTheme="majorEastAsia" w:cstheme="majorEastAsia"/>
          <w:b/>
          <w:bCs/>
          <w:color w:val="auto"/>
          <w:sz w:val="44"/>
          <w:szCs w:val="44"/>
        </w:rPr>
        <w:t>申扎县财政局（申扎县人民政府国有资产监督管理委员会）2024年度部门决算公开报告</w:t>
      </w:r>
    </w:p>
    <w:p>
      <w:pPr>
        <w:spacing w:line="578" w:lineRule="exact"/>
        <w:jc w:val="center"/>
        <w:rPr>
          <w:rFonts w:hint="eastAsia" w:asciiTheme="majorEastAsia" w:hAnsiTheme="majorEastAsia" w:eastAsiaTheme="majorEastAsia" w:cstheme="majorEastAsia"/>
          <w:b/>
          <w:bCs/>
          <w:color w:val="auto"/>
          <w:sz w:val="44"/>
          <w:szCs w:val="44"/>
        </w:rPr>
      </w:pPr>
    </w:p>
    <w:p>
      <w:pPr>
        <w:spacing w:line="578" w:lineRule="exact"/>
        <w:jc w:val="center"/>
        <w:rPr>
          <w:rFonts w:hint="eastAsia" w:ascii="黑体" w:hAnsi="ˎ̥" w:eastAsia="黑体"/>
          <w:b/>
          <w:color w:val="auto"/>
          <w:sz w:val="32"/>
          <w:szCs w:val="32"/>
        </w:rPr>
      </w:pPr>
    </w:p>
    <w:p>
      <w:pPr>
        <w:spacing w:line="578" w:lineRule="exact"/>
        <w:jc w:val="center"/>
        <w:rPr>
          <w:rFonts w:hint="eastAsia" w:ascii="黑体" w:hAnsi="黑体" w:eastAsia="黑体" w:cs="黑体"/>
          <w:color w:val="auto"/>
          <w:sz w:val="44"/>
          <w:szCs w:val="44"/>
        </w:rPr>
      </w:pPr>
      <w:bookmarkStart w:id="0" w:name="_Toc11440_WPSOffice_Type2"/>
      <w:r>
        <w:rPr>
          <w:rFonts w:hint="eastAsia" w:ascii="黑体" w:hAnsi="黑体" w:eastAsia="黑体" w:cs="黑体"/>
          <w:color w:val="auto"/>
          <w:sz w:val="44"/>
          <w:szCs w:val="44"/>
        </w:rPr>
        <w:t>目  录</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_Toc1704_WPSOffice_Level1 </w:instrText>
      </w:r>
      <w:r>
        <w:rPr>
          <w:color w:val="auto"/>
          <w:sz w:val="32"/>
          <w:szCs w:val="32"/>
        </w:rPr>
        <w:fldChar w:fldCharType="separate"/>
      </w:r>
      <w:r>
        <w:rPr>
          <w:rFonts w:hint="eastAsia" w:ascii="黑体" w:hAnsi="ˎ̥" w:eastAsia="黑体"/>
          <w:color w:val="auto"/>
          <w:sz w:val="32"/>
          <w:szCs w:val="32"/>
        </w:rPr>
        <w:t>第一部分 基本情况</w:t>
      </w:r>
      <w:r>
        <w:rPr>
          <w:color w:val="auto"/>
          <w:sz w:val="32"/>
          <w:szCs w:val="32"/>
        </w:rPr>
        <w:tab/>
      </w:r>
      <w:r>
        <w:rPr>
          <w:color w:val="auto"/>
          <w:sz w:val="32"/>
          <w:szCs w:val="32"/>
        </w:rPr>
        <w:fldChar w:fldCharType="end"/>
      </w:r>
      <w:r>
        <w:rPr>
          <w:rFonts w:hint="eastAsia"/>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_Toc20274_WPSOffice_Level2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一、部门（单位）职责</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_Toc4833_WPSOffice_Level2 </w:instrText>
      </w:r>
      <w:r>
        <w:rPr>
          <w:rFonts w:hint="eastAsia" w:ascii="仿宋" w:hAnsi="仿宋" w:eastAsia="仿宋" w:cs="仿宋"/>
          <w:color w:val="auto"/>
          <w:sz w:val="32"/>
          <w:szCs w:val="32"/>
        </w:rPr>
        <w:fldChar w:fldCharType="separate"/>
      </w:r>
      <w:r>
        <w:rPr>
          <w:rFonts w:hint="eastAsia" w:ascii="仿宋" w:hAnsi="仿宋" w:eastAsia="仿宋" w:cs="仿宋"/>
          <w:color w:val="auto"/>
          <w:sz w:val="32"/>
          <w:szCs w:val="32"/>
        </w:rPr>
        <w:t>二、机构设置</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_Toc28253_WPSOffice_Level1 </w:instrText>
      </w:r>
      <w:r>
        <w:rPr>
          <w:color w:val="auto"/>
          <w:sz w:val="32"/>
          <w:szCs w:val="32"/>
        </w:rPr>
        <w:fldChar w:fldCharType="separate"/>
      </w: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年度部门决算公开表</w:t>
      </w:r>
      <w:r>
        <w:rPr>
          <w:color w:val="auto"/>
          <w:sz w:val="32"/>
          <w:szCs w:val="32"/>
        </w:rPr>
        <w:tab/>
      </w:r>
      <w:r>
        <w:rPr>
          <w:color w:val="auto"/>
          <w:sz w:val="32"/>
          <w:szCs w:val="32"/>
        </w:rPr>
        <w:fldChar w:fldCharType="end"/>
      </w:r>
      <w:r>
        <w:rPr>
          <w:rFonts w:hint="eastAsia"/>
          <w:color w:val="auto"/>
          <w:sz w:val="32"/>
          <w:szCs w:val="32"/>
        </w:rPr>
        <w:t>2</w:t>
      </w:r>
    </w:p>
    <w:p>
      <w:pPr>
        <w:pStyle w:val="15"/>
        <w:tabs>
          <w:tab w:val="right" w:leader="dot" w:pos="8306"/>
        </w:tabs>
        <w:spacing w:line="578" w:lineRule="exact"/>
        <w:rPr>
          <w:rFonts w:hint="eastAsia"/>
          <w:color w:val="auto"/>
          <w:sz w:val="32"/>
          <w:szCs w:val="32"/>
        </w:rPr>
      </w:pPr>
      <w:r>
        <w:rPr>
          <w:color w:val="auto"/>
          <w:sz w:val="32"/>
          <w:szCs w:val="32"/>
        </w:rPr>
        <w:fldChar w:fldCharType="begin"/>
      </w:r>
      <w:r>
        <w:rPr>
          <w:color w:val="auto"/>
          <w:sz w:val="32"/>
          <w:szCs w:val="32"/>
        </w:rPr>
        <w:instrText xml:space="preserve"> HYPERLINK \l _Toc27590_WPSOffice_Level1 </w:instrText>
      </w:r>
      <w:r>
        <w:rPr>
          <w:color w:val="auto"/>
          <w:sz w:val="32"/>
          <w:szCs w:val="32"/>
        </w:rPr>
        <w:fldChar w:fldCharType="separate"/>
      </w:r>
      <w:r>
        <w:rPr>
          <w:rFonts w:hint="eastAsia" w:ascii="黑体" w:hAnsi="黑体" w:eastAsia="黑体" w:cs="黑体"/>
          <w:color w:val="auto"/>
          <w:sz w:val="32"/>
          <w:szCs w:val="32"/>
        </w:rPr>
        <w:t>第三部分</w:t>
      </w:r>
      <w:r>
        <w:rPr>
          <w:rFonts w:hint="eastAsia"/>
          <w:color w:val="auto"/>
          <w:sz w:val="32"/>
          <w:szCs w:val="32"/>
        </w:rPr>
        <w:t xml:space="preserve">  </w:t>
      </w:r>
      <w:r>
        <w:rPr>
          <w:rFonts w:hint="default" w:ascii="黑体" w:hAnsi="ˎ̥" w:eastAsia="黑体"/>
          <w:color w:val="auto"/>
          <w:sz w:val="32"/>
          <w:szCs w:val="32"/>
          <w:lang w:val="en-US"/>
        </w:rPr>
        <w:t>2024</w:t>
      </w:r>
      <w:r>
        <w:rPr>
          <w:rFonts w:hint="eastAsia" w:ascii="黑体" w:hAnsi="ˎ̥" w:eastAsia="黑体"/>
          <w:color w:val="auto"/>
          <w:sz w:val="32"/>
          <w:szCs w:val="32"/>
        </w:rPr>
        <w:t>年度部门决算情况说明</w:t>
      </w:r>
      <w:r>
        <w:rPr>
          <w:color w:val="auto"/>
          <w:sz w:val="32"/>
          <w:szCs w:val="32"/>
        </w:rPr>
        <w:tab/>
      </w:r>
      <w:r>
        <w:rPr>
          <w:color w:val="auto"/>
          <w:sz w:val="32"/>
          <w:szCs w:val="32"/>
        </w:rPr>
        <w:fldChar w:fldCharType="end"/>
      </w:r>
      <w:r>
        <w:rPr>
          <w:rFonts w:hint="eastAsia"/>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_Toc21737_WPSOffice_Level2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一、收入支出总体情况说明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3</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二、收入决算情况说明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三、支出决算情况说明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四、财政拨款收入支出决算</w:t>
      </w:r>
      <w:r>
        <w:rPr>
          <w:rFonts w:hint="eastAsia" w:ascii="仿宋" w:hAnsi="仿宋" w:eastAsia="仿宋" w:cs="仿宋"/>
          <w:bCs/>
          <w:color w:val="auto"/>
          <w:sz w:val="32"/>
          <w:szCs w:val="32"/>
          <w:lang w:val="en-US" w:eastAsia="zh-CN"/>
        </w:rPr>
        <w:t>总体</w:t>
      </w:r>
      <w:r>
        <w:rPr>
          <w:rFonts w:hint="eastAsia" w:ascii="仿宋" w:hAnsi="仿宋" w:eastAsia="仿宋" w:cs="仿宋"/>
          <w:bCs/>
          <w:color w:val="auto"/>
          <w:sz w:val="32"/>
          <w:szCs w:val="32"/>
        </w:rPr>
        <w:t>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4</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五、一般公共预算财政拨款支出决算情况说明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5</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六、一般公共预算财政拨款基本支出决算情况说明</w:t>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ab/>
      </w:r>
      <w:r>
        <w:rPr>
          <w:rFonts w:hint="eastAsia" w:ascii="仿宋" w:hAnsi="仿宋" w:eastAsia="仿宋" w:cs="仿宋"/>
          <w:color w:val="auto"/>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政府性基金预算财政拨款支出决算情况说明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国有资本经营预算财政拨款支出决算情况说明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8</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九、财政拨款“三公”经费支出决算情况说明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9</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_Toc19535_WPSOffice_Level2 </w:instrText>
      </w:r>
      <w:r>
        <w:rPr>
          <w:rFonts w:hint="eastAsia" w:ascii="仿宋" w:hAnsi="仿宋" w:eastAsia="仿宋" w:cs="仿宋"/>
          <w:color w:val="auto"/>
          <w:sz w:val="32"/>
          <w:szCs w:val="32"/>
        </w:rPr>
        <w:fldChar w:fldCharType="separate"/>
      </w:r>
      <w:r>
        <w:rPr>
          <w:rFonts w:hint="eastAsia" w:ascii="仿宋" w:hAnsi="仿宋" w:eastAsia="仿宋" w:cs="仿宋"/>
          <w:bCs/>
          <w:color w:val="auto"/>
          <w:sz w:val="32"/>
          <w:szCs w:val="32"/>
        </w:rPr>
        <w:t>十、预算绩效情况说明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fldChar w:fldCharType="end"/>
      </w:r>
      <w:r>
        <w:rPr>
          <w:rFonts w:hint="eastAsia" w:ascii="仿宋" w:hAnsi="仿宋" w:eastAsia="仿宋" w:cs="仿宋"/>
          <w:color w:val="auto"/>
          <w:sz w:val="32"/>
          <w:szCs w:val="32"/>
        </w:rPr>
        <w:t>11</w:t>
      </w:r>
    </w:p>
    <w:p>
      <w:pPr>
        <w:pStyle w:val="16"/>
        <w:tabs>
          <w:tab w:val="right" w:leader="dot" w:pos="8306"/>
        </w:tabs>
        <w:spacing w:line="578" w:lineRule="exact"/>
        <w:ind w:leftChars="0"/>
        <w:rPr>
          <w:rFonts w:hint="eastAsia" w:ascii="仿宋" w:hAnsi="仿宋" w:eastAsia="仿宋" w:cs="仿宋"/>
          <w:color w:val="auto"/>
          <w:sz w:val="32"/>
          <w:szCs w:val="32"/>
        </w:rPr>
      </w:pPr>
      <w:r>
        <w:rPr>
          <w:rFonts w:hint="eastAsia" w:ascii="仿宋" w:hAnsi="仿宋" w:eastAsia="仿宋" w:cs="仿宋"/>
          <w:bCs/>
          <w:color w:val="auto"/>
          <w:sz w:val="32"/>
          <w:szCs w:val="32"/>
        </w:rPr>
        <w:t>十一、其他重要事项情况说明</w:t>
      </w:r>
      <w:r>
        <w:rPr>
          <w:rFonts w:hint="eastAsia" w:ascii="仿宋" w:hAnsi="仿宋" w:eastAsia="仿宋" w:cs="仿宋"/>
          <w:color w:val="auto"/>
          <w:sz w:val="32"/>
          <w:szCs w:val="32"/>
        </w:rPr>
        <w:tab/>
      </w:r>
      <w:r>
        <w:rPr>
          <w:rFonts w:hint="eastAsia" w:ascii="仿宋" w:hAnsi="仿宋" w:eastAsia="仿宋" w:cs="仿宋"/>
          <w:color w:val="auto"/>
          <w:sz w:val="32"/>
          <w:szCs w:val="32"/>
        </w:rPr>
        <w:t>13</w:t>
      </w:r>
    </w:p>
    <w:p>
      <w:pPr>
        <w:pStyle w:val="15"/>
        <w:tabs>
          <w:tab w:val="right" w:leader="dot" w:pos="8306"/>
        </w:tabs>
        <w:spacing w:line="578" w:lineRule="exact"/>
        <w:rPr>
          <w:rFonts w:hint="eastAsia" w:ascii="黑体" w:hAnsi="ˎ̥"/>
          <w:b/>
          <w:color w:val="auto"/>
          <w:sz w:val="32"/>
          <w:szCs w:val="32"/>
        </w:rPr>
      </w:pPr>
      <w:r>
        <w:rPr>
          <w:color w:val="auto"/>
          <w:sz w:val="32"/>
          <w:szCs w:val="32"/>
        </w:rPr>
        <w:fldChar w:fldCharType="begin"/>
      </w:r>
      <w:r>
        <w:rPr>
          <w:color w:val="auto"/>
          <w:sz w:val="32"/>
          <w:szCs w:val="32"/>
        </w:rPr>
        <w:instrText xml:space="preserve"> HYPERLINK \l _Toc15425_WPSOffice_Level1 </w:instrText>
      </w:r>
      <w:r>
        <w:rPr>
          <w:color w:val="auto"/>
          <w:sz w:val="32"/>
          <w:szCs w:val="32"/>
        </w:rPr>
        <w:fldChar w:fldCharType="separate"/>
      </w:r>
      <w:r>
        <w:rPr>
          <w:rFonts w:hint="eastAsia" w:ascii="黑体" w:hAnsi="ˎ̥" w:eastAsia="黑体"/>
          <w:color w:val="auto"/>
          <w:sz w:val="32"/>
          <w:szCs w:val="32"/>
        </w:rPr>
        <w:t>第四部分  名词解释</w:t>
      </w:r>
      <w:r>
        <w:rPr>
          <w:color w:val="auto"/>
          <w:sz w:val="32"/>
          <w:szCs w:val="32"/>
        </w:rPr>
        <w:tab/>
      </w:r>
      <w:bookmarkStart w:id="1" w:name="_Toc15425_WPSOffice_Level1Page"/>
      <w:r>
        <w:rPr>
          <w:color w:val="auto"/>
          <w:sz w:val="32"/>
          <w:szCs w:val="32"/>
        </w:rPr>
        <w:t>1</w:t>
      </w:r>
      <w:bookmarkEnd w:id="1"/>
      <w:r>
        <w:rPr>
          <w:color w:val="auto"/>
          <w:sz w:val="32"/>
          <w:szCs w:val="32"/>
        </w:rPr>
        <w:fldChar w:fldCharType="end"/>
      </w:r>
      <w:bookmarkEnd w:id="0"/>
      <w:r>
        <w:rPr>
          <w:rFonts w:hint="eastAsia"/>
          <w:color w:val="auto"/>
          <w:sz w:val="32"/>
          <w:szCs w:val="32"/>
        </w:rPr>
        <w:t>5</w:t>
      </w:r>
    </w:p>
    <w:p>
      <w:pPr>
        <w:spacing w:line="578" w:lineRule="exact"/>
        <w:jc w:val="both"/>
        <w:rPr>
          <w:rFonts w:hint="eastAsia" w:ascii="黑体" w:hAnsi="ˎ̥" w:eastAsia="黑体"/>
          <w:color w:val="auto"/>
          <w:sz w:val="32"/>
          <w:szCs w:val="32"/>
        </w:rPr>
      </w:pPr>
      <w:bookmarkStart w:id="2" w:name="_Toc23465_WPSOffice_Level1"/>
      <w:bookmarkStart w:id="3" w:name="_Toc22941_WPSOffice_Level1"/>
      <w:bookmarkStart w:id="4" w:name="_Toc10720_WPSOffice_Level1"/>
      <w:bookmarkStart w:id="5" w:name="_Toc1704_WPSOffice_Level1"/>
      <w:bookmarkStart w:id="6" w:name="_Toc32433_WPSOffice_Level1"/>
      <w:bookmarkStart w:id="7" w:name="_Toc10049_WPSOffice_Level1"/>
      <w:bookmarkStart w:id="8" w:name="_Toc14159_WPSOffice_Level2"/>
      <w:bookmarkStart w:id="9" w:name="_Toc20205_WPSOffice_Level2"/>
      <w:bookmarkStart w:id="10" w:name="_Toc32622_WPSOffice_Level2"/>
      <w:bookmarkStart w:id="11" w:name="_Toc26580_WPSOffice_Level2"/>
      <w:bookmarkStart w:id="12" w:name="_Toc24238_WPSOffice_Level2"/>
      <w:bookmarkStart w:id="13" w:name="_Toc20274_WPSOffice_Level2"/>
    </w:p>
    <w:bookmarkEnd w:id="2"/>
    <w:bookmarkEnd w:id="3"/>
    <w:bookmarkEnd w:id="4"/>
    <w:bookmarkEnd w:id="5"/>
    <w:bookmarkEnd w:id="6"/>
    <w:bookmarkEnd w:id="7"/>
    <w:p>
      <w:pPr>
        <w:numPr>
          <w:ilvl w:val="0"/>
          <w:numId w:val="2"/>
        </w:numPr>
        <w:spacing w:line="578"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部门（单位）职责</w:t>
      </w:r>
    </w:p>
    <w:p>
      <w:pPr>
        <w:spacing w:line="588" w:lineRule="exact"/>
        <w:ind w:firstLine="640" w:firstLineChars="200"/>
        <w:rPr>
          <w:rFonts w:ascii="方正仿宋简体" w:hAnsi="黑体" w:eastAsia="方正仿宋简体"/>
          <w:color w:val="auto"/>
          <w:sz w:val="32"/>
          <w:szCs w:val="32"/>
        </w:rPr>
      </w:pPr>
      <w:r>
        <w:rPr>
          <w:rFonts w:hint="eastAsia" w:ascii="方正仿宋简体" w:hAnsi="黑体" w:eastAsia="方正仿宋简体"/>
          <w:color w:val="auto"/>
          <w:sz w:val="32"/>
          <w:szCs w:val="32"/>
        </w:rPr>
        <w:t>1、贯彻执行国家、自治区、市财政税收有关方针政策和法律法规，结合申扎县实际，分析预测宏观经济形势，参与制定县宏观经济政策，提出运用财税政策宏观调控和综合平衡社会财力的建议，指导全县财务工作。进行财政政策、理论和财税体制研究，为政府决策提供政策性建议。</w:t>
      </w:r>
    </w:p>
    <w:p>
      <w:pPr>
        <w:spacing w:line="588" w:lineRule="exact"/>
        <w:ind w:firstLine="640" w:firstLineChars="200"/>
        <w:rPr>
          <w:rFonts w:ascii="方正仿宋简体" w:hAnsi="黑体" w:eastAsia="方正仿宋简体"/>
          <w:color w:val="auto"/>
          <w:sz w:val="32"/>
          <w:szCs w:val="32"/>
        </w:rPr>
      </w:pPr>
      <w:r>
        <w:rPr>
          <w:rFonts w:ascii="方正仿宋简体" w:hAnsi="黑体" w:eastAsia="方正仿宋简体"/>
          <w:color w:val="auto"/>
          <w:sz w:val="32"/>
          <w:szCs w:val="32"/>
        </w:rPr>
        <w:t>2、承担全县各项财政收支管理工作，并指导全县各级财政做好相关工作，负责编制全县年度预决算草案并组织执行，受县政府委托，向县人民代表大会报告全县预算及执行情况，向县人大常委会报告决算。组织制定县级部门（单位）经费开支标准、定额，负责审核审批县级部门（单位）的年度决算。负责完善县财政管理体制和转移支付制度。</w:t>
      </w:r>
    </w:p>
    <w:p>
      <w:pPr>
        <w:spacing w:line="588" w:lineRule="exact"/>
        <w:ind w:firstLine="640" w:firstLineChars="200"/>
        <w:rPr>
          <w:rFonts w:ascii="方正仿宋简体" w:hAnsi="黑体" w:eastAsia="方正仿宋简体"/>
          <w:color w:val="auto"/>
          <w:sz w:val="32"/>
          <w:szCs w:val="32"/>
        </w:rPr>
      </w:pPr>
      <w:r>
        <w:rPr>
          <w:rFonts w:ascii="方正仿宋简体" w:hAnsi="黑体" w:eastAsia="方正仿宋简体"/>
          <w:color w:val="auto"/>
          <w:sz w:val="32"/>
          <w:szCs w:val="32"/>
        </w:rPr>
        <w:t>3、负责政府</w:t>
      </w:r>
      <w:r>
        <w:rPr>
          <w:rFonts w:hint="eastAsia" w:ascii="方正仿宋简体" w:hAnsi="黑体" w:eastAsia="方正仿宋简体"/>
          <w:color w:val="auto"/>
          <w:sz w:val="32"/>
          <w:szCs w:val="32"/>
        </w:rPr>
        <w:t>”</w:t>
      </w:r>
      <w:r>
        <w:rPr>
          <w:rFonts w:ascii="方正仿宋简体" w:hAnsi="黑体" w:eastAsia="方正仿宋简体"/>
          <w:color w:val="auto"/>
          <w:sz w:val="32"/>
          <w:szCs w:val="32"/>
        </w:rPr>
        <w:t>非税收入</w:t>
      </w:r>
      <w:r>
        <w:rPr>
          <w:rFonts w:hint="eastAsia" w:ascii="方正仿宋简体" w:hAnsi="黑体" w:eastAsia="方正仿宋简体"/>
          <w:color w:val="auto"/>
          <w:sz w:val="32"/>
          <w:szCs w:val="32"/>
        </w:rPr>
        <w:t>”</w:t>
      </w:r>
      <w:r>
        <w:rPr>
          <w:rFonts w:ascii="方正仿宋简体" w:hAnsi="黑体" w:eastAsia="方正仿宋简体"/>
          <w:color w:val="auto"/>
          <w:sz w:val="32"/>
          <w:szCs w:val="32"/>
        </w:rPr>
        <w:t>的管理，负责政府性基金管理，按规定管理行政事业性收费，管理财政票据。</w:t>
      </w:r>
    </w:p>
    <w:p>
      <w:pPr>
        <w:spacing w:line="588" w:lineRule="exact"/>
        <w:ind w:firstLine="640" w:firstLineChars="200"/>
        <w:rPr>
          <w:rFonts w:ascii="方正仿宋简体" w:hAnsi="黑体" w:eastAsia="方正仿宋简体"/>
          <w:color w:val="auto"/>
          <w:sz w:val="32"/>
          <w:szCs w:val="32"/>
        </w:rPr>
      </w:pPr>
      <w:r>
        <w:rPr>
          <w:rFonts w:ascii="方正仿宋简体" w:hAnsi="黑体" w:eastAsia="方正仿宋简体"/>
          <w:color w:val="auto"/>
          <w:sz w:val="32"/>
          <w:szCs w:val="32"/>
        </w:rPr>
        <w:t>4、按照国家、自治区、市财政规定管理国库、国库集中收付，指导和监督县国库业务，按规定开展国库现金管理工作，负责制定县政府采购制度并监督管理。根据全县信息化建设战略，拟定财政信息化建设中长期规划，规范管理全县财政信息化建设。</w:t>
      </w:r>
    </w:p>
    <w:p>
      <w:pPr>
        <w:spacing w:line="588" w:lineRule="exact"/>
        <w:ind w:firstLine="640" w:firstLineChars="200"/>
        <w:rPr>
          <w:rFonts w:ascii="方正仿宋简体" w:hAnsi="黑体" w:eastAsia="方正仿宋简体"/>
          <w:color w:val="auto"/>
          <w:sz w:val="32"/>
          <w:szCs w:val="32"/>
        </w:rPr>
      </w:pPr>
      <w:r>
        <w:rPr>
          <w:rFonts w:ascii="方正仿宋简体" w:hAnsi="黑体" w:eastAsia="方正仿宋简体"/>
          <w:color w:val="auto"/>
          <w:sz w:val="32"/>
          <w:szCs w:val="32"/>
        </w:rPr>
        <w:t>5、按照国家、自治区、市资产管理规定，负责管理行政事业单位国有资产，负责县本级行政机构、事业单位和社会团体财政预算内的收支管理。</w:t>
      </w:r>
    </w:p>
    <w:p>
      <w:pPr>
        <w:spacing w:line="588" w:lineRule="exact"/>
        <w:ind w:firstLine="640" w:firstLineChars="200"/>
        <w:rPr>
          <w:rFonts w:ascii="方正仿宋简体" w:hAnsi="黑体" w:eastAsia="方正仿宋简体"/>
          <w:color w:val="auto"/>
          <w:sz w:val="32"/>
          <w:szCs w:val="32"/>
        </w:rPr>
      </w:pPr>
      <w:r>
        <w:rPr>
          <w:rFonts w:ascii="方正仿宋简体" w:hAnsi="黑体" w:eastAsia="方正仿宋简体"/>
          <w:color w:val="auto"/>
          <w:sz w:val="32"/>
          <w:szCs w:val="32"/>
        </w:rPr>
        <w:t>6、负责审核和汇总编制县国有资本经营预决算草案，制定国有资本经营预算制度和办法并监督执行；制定并组织实施企业财务制度，按规定管理金融类企业国有资产，参与拟定企业国有资产管理相关制度，按规定管理资产评估工作。</w:t>
      </w:r>
    </w:p>
    <w:p>
      <w:pPr>
        <w:spacing w:line="588" w:lineRule="exact"/>
        <w:ind w:firstLine="640" w:firstLineChars="200"/>
        <w:rPr>
          <w:rFonts w:ascii="方正仿宋简体" w:hAnsi="黑体" w:eastAsia="方正仿宋简体"/>
          <w:color w:val="auto"/>
          <w:sz w:val="32"/>
          <w:szCs w:val="32"/>
        </w:rPr>
      </w:pPr>
      <w:r>
        <w:rPr>
          <w:rFonts w:ascii="方正仿宋简体" w:hAnsi="黑体" w:eastAsia="方正仿宋简体"/>
          <w:color w:val="auto"/>
          <w:sz w:val="32"/>
          <w:szCs w:val="32"/>
        </w:rPr>
        <w:t>7、负责办理县财政的经济发展支出、政府性投资项目的财政拨款；参与拟定县建设投资有关政策；制定基本建设财务制度，负责有关政策性补贴和专项储备资金财政管理工作；负责县农业综合开发资金管理，参与农业综合开发项目相关工作。</w:t>
      </w:r>
    </w:p>
    <w:p>
      <w:pPr>
        <w:spacing w:line="588" w:lineRule="exact"/>
        <w:ind w:firstLine="640" w:firstLineChars="200"/>
        <w:rPr>
          <w:rFonts w:ascii="方正仿宋简体" w:hAnsi="黑体" w:eastAsia="方正仿宋简体"/>
          <w:color w:val="auto"/>
          <w:sz w:val="32"/>
          <w:szCs w:val="32"/>
        </w:rPr>
      </w:pPr>
      <w:r>
        <w:rPr>
          <w:rFonts w:ascii="方正仿宋简体" w:hAnsi="黑体" w:eastAsia="方正仿宋简体"/>
          <w:color w:val="auto"/>
          <w:sz w:val="32"/>
          <w:szCs w:val="32"/>
        </w:rPr>
        <w:t>8、会同有关部门拟定社会保障资金（基金）财务管理制度，管理全县相关财政社会保障资金、就业及医疗卫生专项资金支出，编制、审核全县社会保障预决算草案，承担社会保险基金、社会保障支出资金的财政监管工作。</w:t>
      </w:r>
    </w:p>
    <w:p>
      <w:pPr>
        <w:spacing w:line="588" w:lineRule="exact"/>
        <w:ind w:firstLine="640" w:firstLineChars="200"/>
        <w:rPr>
          <w:rFonts w:ascii="方正仿宋简体" w:hAnsi="黑体" w:eastAsia="方正仿宋简体"/>
          <w:color w:val="auto"/>
          <w:sz w:val="32"/>
          <w:szCs w:val="32"/>
        </w:rPr>
      </w:pPr>
      <w:r>
        <w:rPr>
          <w:rFonts w:ascii="方正仿宋简体" w:hAnsi="黑体" w:eastAsia="方正仿宋简体"/>
          <w:color w:val="auto"/>
          <w:sz w:val="32"/>
          <w:szCs w:val="32"/>
        </w:rPr>
        <w:t>9、负责管理全县会计工作，监督和规范会计行为，组织实施国家统一的会计准则制度，指导和管理社会审计，办理相关行政许可事项的审批和注册备案工作。</w:t>
      </w:r>
    </w:p>
    <w:p>
      <w:pPr>
        <w:spacing w:line="588" w:lineRule="exact"/>
        <w:ind w:firstLine="640" w:firstLineChars="200"/>
        <w:rPr>
          <w:rFonts w:ascii="方正仿宋简体" w:hAnsi="黑体" w:eastAsia="方正仿宋简体"/>
          <w:color w:val="auto"/>
          <w:sz w:val="32"/>
          <w:szCs w:val="32"/>
        </w:rPr>
      </w:pPr>
      <w:r>
        <w:rPr>
          <w:rFonts w:ascii="方正仿宋简体" w:hAnsi="黑体" w:eastAsia="方正仿宋简体"/>
          <w:color w:val="auto"/>
          <w:sz w:val="32"/>
          <w:szCs w:val="32"/>
        </w:rPr>
        <w:t>10、拟定县财政监督检查制度；监督检查财税法规、政策的执行情况，反映财政收支管理中的重大问题。</w:t>
      </w:r>
    </w:p>
    <w:p>
      <w:pPr>
        <w:spacing w:line="588" w:lineRule="exact"/>
        <w:ind w:firstLine="640" w:firstLineChars="200"/>
        <w:rPr>
          <w:rFonts w:hint="eastAsia" w:ascii="黑体" w:hAnsi="黑体" w:eastAsia="黑体" w:cs="黑体"/>
          <w:color w:val="auto"/>
          <w:sz w:val="32"/>
          <w:szCs w:val="32"/>
        </w:rPr>
      </w:pPr>
      <w:r>
        <w:rPr>
          <w:rFonts w:ascii="方正仿宋简体" w:hAnsi="黑体" w:eastAsia="方正仿宋简体"/>
          <w:color w:val="auto"/>
          <w:sz w:val="32"/>
          <w:szCs w:val="32"/>
        </w:rPr>
        <w:t>11、承办县政府交办的其他事项</w:t>
      </w:r>
      <w:r>
        <w:rPr>
          <w:rFonts w:hint="eastAsia" w:ascii="方正仿宋简体" w:hAnsi="黑体" w:eastAsia="方正仿宋简体"/>
          <w:color w:val="auto"/>
          <w:sz w:val="32"/>
          <w:szCs w:val="32"/>
        </w:rPr>
        <w:t>。</w:t>
      </w:r>
    </w:p>
    <w:bookmarkEnd w:id="8"/>
    <w:bookmarkEnd w:id="9"/>
    <w:bookmarkEnd w:id="10"/>
    <w:bookmarkEnd w:id="11"/>
    <w:bookmarkEnd w:id="12"/>
    <w:bookmarkEnd w:id="13"/>
    <w:p>
      <w:pPr>
        <w:spacing w:line="578" w:lineRule="exact"/>
        <w:ind w:firstLine="640" w:firstLineChars="200"/>
        <w:rPr>
          <w:rFonts w:hint="eastAsia" w:ascii="黑体" w:hAnsi="黑体" w:eastAsia="黑体" w:cs="黑体"/>
          <w:color w:val="auto"/>
          <w:sz w:val="32"/>
          <w:szCs w:val="32"/>
        </w:rPr>
      </w:pPr>
      <w:bookmarkStart w:id="14" w:name="_Toc24059_WPSOffice_Level2"/>
      <w:bookmarkStart w:id="15" w:name="_Toc17796_WPSOffice_Level2"/>
      <w:bookmarkStart w:id="16" w:name="_Toc4833_WPSOffice_Level2"/>
      <w:bookmarkStart w:id="17" w:name="_Toc6572_WPSOffice_Level2"/>
      <w:bookmarkStart w:id="18" w:name="_Toc24474_WPSOffice_Level2"/>
      <w:bookmarkStart w:id="19" w:name="_Toc6234_WPSOffice_Level1"/>
      <w:bookmarkStart w:id="20" w:name="_Toc15521_WPSOffice_Level1"/>
      <w:bookmarkStart w:id="21" w:name="_Toc30690_WPSOffice_Level1"/>
      <w:bookmarkStart w:id="22" w:name="_Toc30451_WPSOffice_Level1"/>
      <w:bookmarkStart w:id="23" w:name="_Toc28253_WPSOffice_Level1"/>
      <w:bookmarkStart w:id="24" w:name="_Toc8164_WPSOffice_Level1"/>
      <w:bookmarkStart w:id="25" w:name="_Toc6211_WPSOffice_Level2"/>
      <w:bookmarkStart w:id="26" w:name="_Toc8867_WPSOffice_Level2"/>
      <w:bookmarkStart w:id="27" w:name="_Toc32695_WPSOffice_Level2"/>
      <w:bookmarkStart w:id="28" w:name="_Toc32472_WPSOffice_Level2"/>
      <w:bookmarkStart w:id="29" w:name="_Toc4029_WPSOffice_Level2"/>
      <w:bookmarkStart w:id="30" w:name="_Toc11518_WPSOffice_Level2"/>
      <w:r>
        <w:rPr>
          <w:rFonts w:hint="eastAsia" w:ascii="黑体" w:hAnsi="黑体" w:eastAsia="黑体" w:cs="黑体"/>
          <w:color w:val="auto"/>
          <w:sz w:val="32"/>
          <w:szCs w:val="32"/>
        </w:rPr>
        <w:t>二、机构设置</w:t>
      </w:r>
      <w:bookmarkEnd w:id="14"/>
      <w:bookmarkEnd w:id="15"/>
      <w:bookmarkEnd w:id="16"/>
      <w:bookmarkEnd w:id="17"/>
      <w:bookmarkEnd w:id="18"/>
    </w:p>
    <w:p>
      <w:pPr>
        <w:spacing w:line="588" w:lineRule="exact"/>
        <w:ind w:firstLine="640" w:firstLineChars="200"/>
        <w:rPr>
          <w:rFonts w:eastAsia="方正仿宋简体"/>
          <w:color w:val="auto"/>
          <w:sz w:val="32"/>
          <w:szCs w:val="32"/>
        </w:rPr>
      </w:pPr>
      <w:r>
        <w:rPr>
          <w:rFonts w:hint="eastAsia" w:eastAsia="方正仿宋简体"/>
          <w:color w:val="auto"/>
          <w:sz w:val="32"/>
          <w:szCs w:val="32"/>
        </w:rPr>
        <w:t>申扎</w:t>
      </w:r>
      <w:r>
        <w:rPr>
          <w:rFonts w:eastAsia="方正仿宋简体"/>
          <w:color w:val="auto"/>
          <w:sz w:val="32"/>
          <w:szCs w:val="32"/>
        </w:rPr>
        <w:t>县财政局隶属行政机构，单位性质为正科级政府机构，社会统一信用代码为：115424260099136075。人员编制4人，行政人员编制4人，无事业编制。我局共设置局长办、国库办、预算办、采购办、综合办公室（公车办、国资委、信息中心）、财经办、金融办等办公室。</w:t>
      </w:r>
    </w:p>
    <w:p>
      <w:pPr>
        <w:spacing w:line="588" w:lineRule="exact"/>
        <w:ind w:firstLine="640" w:firstLineChars="200"/>
        <w:rPr>
          <w:rFonts w:ascii="方正小标宋简体" w:hAnsi="仿宋" w:eastAsia="方正小标宋简体"/>
          <w:color w:val="auto"/>
          <w:sz w:val="32"/>
          <w:szCs w:val="32"/>
        </w:rPr>
      </w:pPr>
      <w:r>
        <w:rPr>
          <w:rFonts w:ascii="方正小标宋简体" w:hAnsi="仿宋" w:eastAsia="方正小标宋简体"/>
          <w:color w:val="auto"/>
          <w:sz w:val="32"/>
          <w:szCs w:val="32"/>
        </w:rPr>
        <w:t>三</w:t>
      </w:r>
      <w:r>
        <w:rPr>
          <w:rFonts w:hint="eastAsia" w:ascii="方正小标宋简体" w:hAnsi="仿宋" w:eastAsia="方正小标宋简体"/>
          <w:color w:val="auto"/>
          <w:sz w:val="32"/>
          <w:szCs w:val="32"/>
        </w:rPr>
        <w:t>、</w:t>
      </w:r>
      <w:r>
        <w:rPr>
          <w:rFonts w:ascii="方正小标宋简体" w:hAnsi="仿宋" w:eastAsia="方正小标宋简体"/>
          <w:color w:val="auto"/>
          <w:sz w:val="32"/>
          <w:szCs w:val="32"/>
        </w:rPr>
        <w:t>部门预算构成</w:t>
      </w:r>
    </w:p>
    <w:p>
      <w:pPr>
        <w:spacing w:line="588" w:lineRule="exact"/>
        <w:ind w:firstLine="640" w:firstLineChars="200"/>
        <w:rPr>
          <w:rFonts w:eastAsia="方正仿宋简体"/>
          <w:color w:val="auto"/>
          <w:sz w:val="32"/>
          <w:szCs w:val="32"/>
        </w:rPr>
      </w:pPr>
      <w:r>
        <w:rPr>
          <w:rFonts w:hint="eastAsia" w:eastAsia="方正仿宋简体"/>
          <w:color w:val="auto"/>
          <w:sz w:val="32"/>
          <w:szCs w:val="32"/>
        </w:rPr>
        <w:t>本单位无下属单位，部门预算为申扎县财政局部门预算，</w:t>
      </w:r>
      <w:r>
        <w:rPr>
          <w:rFonts w:hint="eastAsia" w:eastAsia="方正仿宋简体"/>
          <w:color w:val="auto"/>
          <w:sz w:val="32"/>
          <w:szCs w:val="32"/>
          <w:lang w:val="en-US" w:eastAsia="zh-CN"/>
        </w:rPr>
        <w:t>2026</w:t>
      </w:r>
      <w:r>
        <w:rPr>
          <w:rFonts w:ascii="方正仿宋简体" w:hAnsi="黑体" w:eastAsia="方正仿宋简体"/>
          <w:color w:val="auto"/>
          <w:sz w:val="32"/>
          <w:szCs w:val="32"/>
        </w:rPr>
        <w:t>年，我局在职职工</w:t>
      </w:r>
      <w:r>
        <w:rPr>
          <w:rFonts w:hint="eastAsia" w:eastAsia="方正仿宋简体"/>
          <w:color w:val="auto"/>
          <w:sz w:val="32"/>
          <w:szCs w:val="32"/>
          <w:lang w:val="en-US" w:eastAsia="zh-CN"/>
        </w:rPr>
        <w:t>8</w:t>
      </w:r>
      <w:r>
        <w:rPr>
          <w:rFonts w:ascii="方正仿宋简体" w:hAnsi="黑体" w:eastAsia="方正仿宋简体"/>
          <w:color w:val="auto"/>
          <w:sz w:val="32"/>
          <w:szCs w:val="32"/>
        </w:rPr>
        <w:t>人，其中：正科级干部</w:t>
      </w:r>
      <w:r>
        <w:rPr>
          <w:rFonts w:hint="eastAsia" w:eastAsia="方正仿宋简体"/>
          <w:color w:val="auto"/>
          <w:sz w:val="32"/>
          <w:szCs w:val="32"/>
          <w:lang w:val="en-US" w:eastAsia="zh-CN"/>
        </w:rPr>
        <w:t>0</w:t>
      </w:r>
      <w:r>
        <w:rPr>
          <w:rFonts w:ascii="方正仿宋简体" w:hAnsi="黑体" w:eastAsia="方正仿宋简体"/>
          <w:color w:val="auto"/>
          <w:sz w:val="32"/>
          <w:szCs w:val="32"/>
        </w:rPr>
        <w:t>人、副科级干部</w:t>
      </w:r>
      <w:r>
        <w:rPr>
          <w:rFonts w:hint="eastAsia" w:eastAsia="方正仿宋简体"/>
          <w:color w:val="auto"/>
          <w:sz w:val="32"/>
          <w:szCs w:val="32"/>
          <w:lang w:val="en-US" w:eastAsia="zh-CN"/>
        </w:rPr>
        <w:t>2</w:t>
      </w:r>
      <w:r>
        <w:rPr>
          <w:rFonts w:ascii="方正仿宋简体" w:hAnsi="黑体" w:eastAsia="方正仿宋简体"/>
          <w:color w:val="auto"/>
          <w:sz w:val="32"/>
          <w:szCs w:val="32"/>
        </w:rPr>
        <w:t>人</w:t>
      </w:r>
      <w:r>
        <w:rPr>
          <w:rFonts w:hint="eastAsia" w:ascii="方正仿宋简体" w:hAnsi="黑体" w:eastAsia="方正仿宋简体"/>
          <w:color w:val="auto"/>
          <w:sz w:val="32"/>
          <w:szCs w:val="32"/>
          <w:lang w:eastAsia="zh-CN"/>
        </w:rPr>
        <w:t>、</w:t>
      </w:r>
      <w:r>
        <w:rPr>
          <w:rFonts w:ascii="方正仿宋简体" w:hAnsi="黑体" w:eastAsia="方正仿宋简体"/>
          <w:color w:val="auto"/>
          <w:sz w:val="32"/>
          <w:szCs w:val="32"/>
        </w:rPr>
        <w:t>科员级干部</w:t>
      </w:r>
      <w:r>
        <w:rPr>
          <w:rFonts w:hint="eastAsia" w:eastAsia="方正仿宋简体"/>
          <w:color w:val="auto"/>
          <w:sz w:val="32"/>
          <w:szCs w:val="32"/>
          <w:lang w:val="en-US" w:eastAsia="zh-CN"/>
        </w:rPr>
        <w:t>1</w:t>
      </w:r>
      <w:r>
        <w:rPr>
          <w:rFonts w:ascii="方正仿宋简体" w:hAnsi="黑体" w:eastAsia="方正仿宋简体"/>
          <w:color w:val="auto"/>
          <w:sz w:val="32"/>
          <w:szCs w:val="32"/>
        </w:rPr>
        <w:t>人</w:t>
      </w:r>
      <w:r>
        <w:rPr>
          <w:rFonts w:hint="eastAsia" w:ascii="方正仿宋简体" w:hAnsi="黑体" w:eastAsia="方正仿宋简体"/>
          <w:color w:val="auto"/>
          <w:sz w:val="32"/>
          <w:szCs w:val="32"/>
          <w:lang w:eastAsia="zh-CN"/>
        </w:rPr>
        <w:t>、事业管理人员</w:t>
      </w:r>
      <w:r>
        <w:rPr>
          <w:rFonts w:hint="eastAsia" w:eastAsia="方正仿宋简体"/>
          <w:color w:val="auto"/>
          <w:sz w:val="32"/>
          <w:szCs w:val="32"/>
          <w:lang w:val="en-US" w:eastAsia="zh-CN"/>
        </w:rPr>
        <w:t>5</w:t>
      </w:r>
      <w:r>
        <w:rPr>
          <w:rFonts w:hint="eastAsia" w:ascii="方正仿宋简体" w:hAnsi="黑体" w:eastAsia="方正仿宋简体"/>
          <w:color w:val="auto"/>
          <w:sz w:val="32"/>
          <w:szCs w:val="32"/>
          <w:lang w:val="en-US" w:eastAsia="zh-CN"/>
        </w:rPr>
        <w:t>人、</w:t>
      </w:r>
      <w:r>
        <w:rPr>
          <w:rFonts w:ascii="方正仿宋简体" w:hAnsi="黑体" w:eastAsia="方正仿宋简体"/>
          <w:color w:val="auto"/>
          <w:sz w:val="32"/>
          <w:szCs w:val="32"/>
        </w:rPr>
        <w:t>退休干部</w:t>
      </w:r>
      <w:r>
        <w:rPr>
          <w:rFonts w:hint="eastAsia" w:eastAsia="方正仿宋简体"/>
          <w:color w:val="auto"/>
          <w:sz w:val="32"/>
          <w:szCs w:val="32"/>
          <w:lang w:val="en-US" w:eastAsia="zh-CN"/>
        </w:rPr>
        <w:t>0</w:t>
      </w:r>
      <w:r>
        <w:rPr>
          <w:rFonts w:ascii="方正仿宋简体" w:hAnsi="黑体" w:eastAsia="方正仿宋简体"/>
          <w:color w:val="auto"/>
          <w:sz w:val="32"/>
          <w:szCs w:val="32"/>
        </w:rPr>
        <w:t>人</w:t>
      </w:r>
      <w:r>
        <w:rPr>
          <w:rFonts w:hint="eastAsia" w:ascii="方正仿宋简体" w:hAnsi="黑体" w:eastAsia="方正仿宋简体"/>
          <w:color w:val="auto"/>
          <w:sz w:val="32"/>
          <w:szCs w:val="32"/>
          <w:lang w:eastAsia="zh-CN"/>
        </w:rPr>
        <w:t>、</w:t>
      </w:r>
      <w:r>
        <w:rPr>
          <w:rFonts w:eastAsia="方正仿宋简体"/>
          <w:color w:val="auto"/>
          <w:sz w:val="32"/>
          <w:szCs w:val="32"/>
        </w:rPr>
        <w:t>其他财政</w:t>
      </w:r>
      <w:r>
        <w:rPr>
          <w:rFonts w:hint="eastAsia" w:eastAsia="方正仿宋简体"/>
          <w:color w:val="auto"/>
          <w:sz w:val="32"/>
          <w:szCs w:val="32"/>
          <w:lang w:eastAsia="zh-CN"/>
        </w:rPr>
        <w:t>公益性</w:t>
      </w:r>
      <w:r>
        <w:rPr>
          <w:rFonts w:eastAsia="方正仿宋简体"/>
          <w:color w:val="auto"/>
          <w:sz w:val="32"/>
          <w:szCs w:val="32"/>
        </w:rPr>
        <w:t>人员</w:t>
      </w:r>
      <w:r>
        <w:rPr>
          <w:rFonts w:hint="eastAsia" w:eastAsia="方正仿宋简体"/>
          <w:color w:val="auto"/>
          <w:sz w:val="32"/>
          <w:szCs w:val="32"/>
          <w:lang w:val="en-US" w:eastAsia="zh-CN"/>
        </w:rPr>
        <w:t>1</w:t>
      </w:r>
      <w:r>
        <w:rPr>
          <w:rFonts w:eastAsia="方正仿宋简体"/>
          <w:color w:val="auto"/>
          <w:sz w:val="32"/>
          <w:szCs w:val="32"/>
        </w:rPr>
        <w:t>人</w:t>
      </w:r>
      <w:r>
        <w:rPr>
          <w:rFonts w:hint="eastAsia" w:eastAsia="方正仿宋简体"/>
          <w:color w:val="auto"/>
          <w:sz w:val="32"/>
          <w:szCs w:val="32"/>
        </w:rPr>
        <w:t>。</w:t>
      </w: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both"/>
        <w:rPr>
          <w:rFonts w:hint="eastAsia" w:ascii="黑体" w:hAnsi="ˎ̥" w:eastAsia="黑体"/>
          <w:color w:val="auto"/>
          <w:sz w:val="32"/>
          <w:szCs w:val="32"/>
        </w:rPr>
      </w:pPr>
    </w:p>
    <w:p>
      <w:pPr>
        <w:spacing w:line="578" w:lineRule="exact"/>
        <w:ind w:firstLine="640" w:firstLineChars="200"/>
        <w:jc w:val="center"/>
        <w:rPr>
          <w:rFonts w:hint="eastAsia" w:ascii="黑体" w:hAnsi="ˎ̥" w:eastAsia="黑体"/>
          <w:color w:val="auto"/>
          <w:sz w:val="32"/>
          <w:szCs w:val="32"/>
        </w:rPr>
      </w:pPr>
      <w:r>
        <w:rPr>
          <w:rFonts w:hint="eastAsia" w:ascii="黑体" w:hAnsi="ˎ̥" w:eastAsia="黑体"/>
          <w:color w:val="auto"/>
          <w:sz w:val="32"/>
          <w:szCs w:val="32"/>
        </w:rPr>
        <w:t xml:space="preserve">第二部分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年度部门决算公开报表</w:t>
      </w:r>
      <w:bookmarkEnd w:id="19"/>
      <w:bookmarkEnd w:id="20"/>
      <w:bookmarkEnd w:id="21"/>
      <w:bookmarkEnd w:id="22"/>
      <w:bookmarkEnd w:id="23"/>
      <w:bookmarkEnd w:id="24"/>
    </w:p>
    <w:p>
      <w:pPr>
        <w:spacing w:line="578" w:lineRule="exact"/>
        <w:ind w:firstLine="645"/>
        <w:rPr>
          <w:rFonts w:hint="eastAsia" w:ascii="黑体" w:hAnsi="黑体" w:eastAsia="黑体" w:cs="黑体"/>
          <w:color w:val="auto"/>
          <w:sz w:val="32"/>
          <w:szCs w:val="32"/>
        </w:rPr>
      </w:pPr>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一、收入支出决算公开表</w:t>
      </w:r>
      <w:bookmarkEnd w:id="25"/>
      <w:bookmarkEnd w:id="26"/>
      <w:bookmarkEnd w:id="27"/>
      <w:bookmarkEnd w:id="28"/>
      <w:bookmarkEnd w:id="29"/>
      <w:bookmarkEnd w:id="30"/>
    </w:p>
    <w:p>
      <w:pPr>
        <w:spacing w:line="578" w:lineRule="exact"/>
        <w:ind w:firstLine="645"/>
        <w:rPr>
          <w:rFonts w:hint="eastAsia" w:ascii="黑体" w:hAnsi="黑体" w:eastAsia="黑体" w:cs="黑体"/>
          <w:color w:val="auto"/>
          <w:sz w:val="32"/>
          <w:szCs w:val="32"/>
        </w:rPr>
      </w:pPr>
      <w:bookmarkStart w:id="31" w:name="_Toc30334_WPSOffice_Level2"/>
      <w:bookmarkStart w:id="32" w:name="_Toc14349_WPSOffice_Level2"/>
      <w:bookmarkStart w:id="33" w:name="_Toc23139_WPSOffice_Level2"/>
      <w:bookmarkStart w:id="34" w:name="_Toc25608_WPSOffice_Level2"/>
      <w:bookmarkStart w:id="35" w:name="_Toc26621_WPSOffice_Level2"/>
      <w:bookmarkStart w:id="36" w:name="_Toc28622_WPSOffice_Level2"/>
      <w:r>
        <w:rPr>
          <w:rFonts w:hint="eastAsia" w:ascii="黑体" w:hAnsi="黑体" w:eastAsia="黑体" w:cs="黑体"/>
          <w:color w:val="auto"/>
          <w:sz w:val="32"/>
          <w:szCs w:val="32"/>
        </w:rPr>
        <w:t>二、收入决算公开表</w:t>
      </w:r>
      <w:bookmarkEnd w:id="31"/>
      <w:bookmarkEnd w:id="32"/>
      <w:bookmarkEnd w:id="33"/>
      <w:bookmarkEnd w:id="34"/>
      <w:bookmarkEnd w:id="35"/>
      <w:bookmarkEnd w:id="36"/>
      <w:bookmarkStart w:id="37" w:name="_Toc13854_WPSOffice_Level2"/>
      <w:bookmarkStart w:id="38" w:name="_Toc17626_WPSOffice_Level2"/>
      <w:bookmarkStart w:id="39" w:name="_Toc3262_WPSOffice_Level2"/>
      <w:bookmarkStart w:id="40" w:name="_Toc17858_WPSOffice_Level2"/>
      <w:bookmarkStart w:id="41" w:name="_Toc14658_WPSOffice_Level2"/>
      <w:bookmarkStart w:id="42" w:name="_Toc5489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三、支出决算公开表</w:t>
      </w:r>
      <w:bookmarkEnd w:id="37"/>
      <w:bookmarkEnd w:id="38"/>
      <w:bookmarkEnd w:id="39"/>
      <w:bookmarkEnd w:id="40"/>
      <w:bookmarkEnd w:id="41"/>
      <w:bookmarkEnd w:id="42"/>
      <w:bookmarkStart w:id="43" w:name="_Toc21415_WPSOffice_Level2"/>
      <w:bookmarkStart w:id="44" w:name="_Toc4265_WPSOffice_Level2"/>
      <w:bookmarkStart w:id="45" w:name="_Toc23493_WPSOffice_Level2"/>
      <w:bookmarkStart w:id="46" w:name="_Toc7988_WPSOffice_Level2"/>
      <w:bookmarkStart w:id="47" w:name="_Toc23591_WPSOffice_Level2"/>
      <w:bookmarkStart w:id="48" w:name="_Toc13701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四、财政拨款收入支出决算公开表</w:t>
      </w:r>
      <w:bookmarkEnd w:id="43"/>
      <w:bookmarkEnd w:id="44"/>
      <w:bookmarkEnd w:id="45"/>
      <w:bookmarkEnd w:id="46"/>
      <w:bookmarkEnd w:id="47"/>
      <w:bookmarkEnd w:id="48"/>
    </w:p>
    <w:p>
      <w:pPr>
        <w:spacing w:line="578" w:lineRule="exact"/>
        <w:ind w:firstLine="645"/>
        <w:rPr>
          <w:rFonts w:hint="eastAsia" w:ascii="黑体" w:hAnsi="黑体" w:eastAsia="黑体" w:cs="黑体"/>
          <w:color w:val="auto"/>
          <w:sz w:val="32"/>
          <w:szCs w:val="32"/>
        </w:rPr>
      </w:pPr>
      <w:bookmarkStart w:id="49" w:name="_Toc25166_WPSOffice_Level2"/>
      <w:bookmarkStart w:id="50" w:name="_Toc23829_WPSOffice_Level2"/>
      <w:bookmarkStart w:id="51" w:name="_Toc22783_WPSOffice_Level2"/>
      <w:bookmarkStart w:id="52" w:name="_Toc7879_WPSOffice_Level2"/>
      <w:bookmarkStart w:id="53" w:name="_Toc2158_WPSOffice_Level2"/>
      <w:bookmarkStart w:id="54" w:name="_Toc13516_WPSOffice_Level2"/>
      <w:r>
        <w:rPr>
          <w:rFonts w:hint="eastAsia" w:ascii="黑体" w:hAnsi="黑体" w:eastAsia="黑体" w:cs="黑体"/>
          <w:color w:val="auto"/>
          <w:sz w:val="32"/>
          <w:szCs w:val="32"/>
        </w:rPr>
        <w:t>五、一般公共预算财政拨款收入支出决算</w:t>
      </w:r>
      <w:bookmarkEnd w:id="49"/>
      <w:bookmarkEnd w:id="50"/>
      <w:bookmarkEnd w:id="51"/>
      <w:bookmarkEnd w:id="52"/>
      <w:r>
        <w:rPr>
          <w:rFonts w:hint="eastAsia" w:ascii="黑体" w:hAnsi="黑体" w:eastAsia="黑体" w:cs="黑体"/>
          <w:color w:val="auto"/>
          <w:sz w:val="32"/>
          <w:szCs w:val="32"/>
        </w:rPr>
        <w:t>公开表</w:t>
      </w:r>
      <w:bookmarkEnd w:id="53"/>
      <w:bookmarkEnd w:id="54"/>
      <w:bookmarkStart w:id="55" w:name="_Toc5343_WPSOffice_Level2"/>
      <w:bookmarkStart w:id="56" w:name="_Toc17833_WPSOffice_Level2"/>
      <w:bookmarkStart w:id="57" w:name="_Toc25362_WPSOffice_Level2"/>
      <w:bookmarkStart w:id="58" w:name="_Toc17283_WPSOffice_Level2"/>
      <w:bookmarkStart w:id="59" w:name="_Toc2632_WPSOffice_Level2"/>
      <w:bookmarkStart w:id="60" w:name="_Toc8373_WPSOffice_Level2"/>
    </w:p>
    <w:p>
      <w:pPr>
        <w:spacing w:line="578" w:lineRule="exact"/>
        <w:ind w:firstLine="645"/>
        <w:rPr>
          <w:rFonts w:hint="eastAsia" w:ascii="黑体" w:hAnsi="黑体" w:eastAsia="黑体" w:cs="黑体"/>
          <w:color w:val="auto"/>
          <w:sz w:val="32"/>
          <w:szCs w:val="32"/>
        </w:rPr>
      </w:pPr>
      <w:r>
        <w:rPr>
          <w:rFonts w:hint="eastAsia" w:ascii="黑体" w:hAnsi="黑体" w:eastAsia="黑体" w:cs="黑体"/>
          <w:color w:val="auto"/>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bookmarkStart w:id="61" w:name="_Toc11799_WPSOffice_Level2"/>
      <w:bookmarkStart w:id="62" w:name="_Toc13345_WPSOffice_Level2"/>
      <w:bookmarkStart w:id="63" w:name="_Toc6020_WPSOffice_Level2"/>
      <w:bookmarkStart w:id="64" w:name="_Toc21310_WPSOffice_Level2"/>
      <w:bookmarkStart w:id="65" w:name="_Toc1533_WPSOffice_Level2"/>
      <w:bookmarkStart w:id="66" w:name="_Toc5594_WPSOffice_Level2"/>
      <w:r>
        <w:rPr>
          <w:rFonts w:hint="eastAsia" w:ascii="黑体" w:hAnsi="黑体" w:eastAsia="黑体" w:cs="黑体"/>
          <w:color w:val="auto"/>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color w:val="auto"/>
          <w:sz w:val="32"/>
          <w:szCs w:val="32"/>
        </w:rPr>
        <w:t>公开表</w:t>
      </w:r>
    </w:p>
    <w:p>
      <w:pPr>
        <w:spacing w:line="578" w:lineRule="exact"/>
        <w:ind w:left="1118" w:leftChars="304" w:hanging="480" w:hangingChars="150"/>
        <w:rPr>
          <w:rFonts w:hint="eastAsia" w:ascii="黑体" w:hAnsi="黑体" w:eastAsia="黑体" w:cs="黑体"/>
          <w:color w:val="auto"/>
          <w:sz w:val="32"/>
          <w:szCs w:val="32"/>
        </w:rPr>
      </w:pPr>
      <w:r>
        <w:rPr>
          <w:rFonts w:hint="eastAsia" w:ascii="黑体" w:hAnsi="黑体" w:eastAsia="黑体" w:cs="黑体"/>
          <w:color w:val="auto"/>
          <w:sz w:val="32"/>
          <w:szCs w:val="32"/>
        </w:rPr>
        <w:t>八、国有资本经营预算财政拨款收入支出决算公开表</w:t>
      </w:r>
    </w:p>
    <w:p>
      <w:pPr>
        <w:spacing w:line="578" w:lineRule="exact"/>
        <w:ind w:firstLine="640"/>
        <w:rPr>
          <w:rFonts w:hint="eastAsia" w:ascii="黑体" w:hAnsi="黑体" w:eastAsia="黑体" w:cs="黑体"/>
          <w:color w:val="auto"/>
          <w:sz w:val="32"/>
          <w:szCs w:val="32"/>
        </w:rPr>
      </w:pPr>
      <w:bookmarkStart w:id="67" w:name="_Toc29886_WPSOffice_Level2"/>
      <w:bookmarkStart w:id="68" w:name="_Toc9377_WPSOffice_Level2"/>
      <w:bookmarkStart w:id="69" w:name="_Toc1820_WPSOffice_Level2"/>
      <w:bookmarkStart w:id="70" w:name="_Toc19961_WPSOffice_Level2"/>
      <w:r>
        <w:rPr>
          <w:rFonts w:hint="eastAsia" w:ascii="黑体" w:hAnsi="黑体" w:eastAsia="黑体" w:cs="黑体"/>
          <w:color w:val="auto"/>
          <w:sz w:val="32"/>
          <w:szCs w:val="32"/>
        </w:rPr>
        <w:t>九、财政拨款“三公”经费支出决算</w:t>
      </w:r>
      <w:bookmarkEnd w:id="67"/>
      <w:bookmarkEnd w:id="68"/>
      <w:bookmarkEnd w:id="69"/>
      <w:bookmarkEnd w:id="70"/>
      <w:r>
        <w:rPr>
          <w:rFonts w:hint="eastAsia" w:ascii="黑体" w:hAnsi="黑体" w:eastAsia="黑体" w:cs="黑体"/>
          <w:color w:val="auto"/>
          <w:sz w:val="32"/>
          <w:szCs w:val="32"/>
        </w:rPr>
        <w:t>公开表</w:t>
      </w:r>
    </w:p>
    <w:p>
      <w:pPr>
        <w:spacing w:line="578" w:lineRule="exact"/>
        <w:ind w:firstLine="640"/>
        <w:rPr>
          <w:rFonts w:hint="eastAsia" w:ascii="仿宋" w:hAnsi="仿宋" w:eastAsia="仿宋" w:cs="仿宋"/>
          <w:color w:val="auto"/>
          <w:w w:val="100"/>
          <w:sz w:val="32"/>
          <w:szCs w:val="32"/>
        </w:rPr>
      </w:pPr>
      <w:r>
        <w:rPr>
          <w:rFonts w:hint="eastAsia" w:ascii="仿宋" w:hAnsi="仿宋" w:eastAsia="仿宋" w:cs="仿宋"/>
          <w:color w:val="auto"/>
          <w:w w:val="100"/>
          <w:sz w:val="32"/>
          <w:szCs w:val="32"/>
        </w:rPr>
        <w:t xml:space="preserve">以上报表见附件1。   </w:t>
      </w:r>
    </w:p>
    <w:p>
      <w:pPr>
        <w:spacing w:line="578" w:lineRule="exact"/>
        <w:rPr>
          <w:rFonts w:hint="eastAsia" w:ascii="黑体" w:hAnsi="黑体" w:eastAsia="黑体" w:cs="黑体"/>
          <w:color w:val="auto"/>
          <w:sz w:val="32"/>
          <w:szCs w:val="32"/>
        </w:rPr>
      </w:pPr>
    </w:p>
    <w:p>
      <w:pPr>
        <w:spacing w:line="578" w:lineRule="exact"/>
        <w:jc w:val="center"/>
        <w:rPr>
          <w:rFonts w:hint="eastAsia" w:ascii="黑体" w:hAnsi="ˎ̥" w:eastAsia="黑体"/>
          <w:color w:val="auto"/>
          <w:sz w:val="32"/>
          <w:szCs w:val="32"/>
        </w:rPr>
      </w:pPr>
      <w:bookmarkStart w:id="71" w:name="_Toc28629_WPSOffice_Level1"/>
      <w:bookmarkStart w:id="72" w:name="_Toc31264_WPSOffice_Level1"/>
      <w:bookmarkStart w:id="73" w:name="_Toc4402_WPSOffice_Level1"/>
      <w:bookmarkStart w:id="74" w:name="_Toc27590_WPSOffice_Level1"/>
      <w:bookmarkStart w:id="75" w:name="_Toc29683_WPSOffice_Level1"/>
      <w:bookmarkStart w:id="76" w:name="_Toc16686_WPSOffice_Level1"/>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p>
    <w:p>
      <w:pPr>
        <w:spacing w:line="578" w:lineRule="exact"/>
        <w:jc w:val="center"/>
        <w:rPr>
          <w:rFonts w:hint="eastAsia" w:ascii="黑体" w:hAnsi="ˎ̥" w:eastAsia="黑体"/>
          <w:color w:val="auto"/>
          <w:sz w:val="32"/>
          <w:szCs w:val="32"/>
        </w:rPr>
      </w:pPr>
      <w:r>
        <w:rPr>
          <w:rFonts w:hint="eastAsia" w:ascii="黑体" w:hAnsi="ˎ̥" w:eastAsia="黑体"/>
          <w:color w:val="auto"/>
          <w:sz w:val="32"/>
          <w:szCs w:val="32"/>
        </w:rPr>
        <w:t xml:space="preserve">第三部分  </w:t>
      </w:r>
      <w:r>
        <w:rPr>
          <w:rFonts w:hint="default" w:ascii="黑体" w:hAnsi="ˎ̥" w:eastAsia="黑体"/>
          <w:color w:val="auto"/>
          <w:sz w:val="32"/>
          <w:szCs w:val="32"/>
          <w:lang w:val="en-US"/>
        </w:rPr>
        <w:t>2024</w:t>
      </w:r>
      <w:r>
        <w:rPr>
          <w:rFonts w:hint="eastAsia" w:ascii="黑体" w:hAnsi="ˎ̥" w:eastAsia="黑体"/>
          <w:color w:val="auto"/>
          <w:sz w:val="32"/>
          <w:szCs w:val="32"/>
        </w:rPr>
        <w:t>年度部门决算情况说明</w:t>
      </w:r>
      <w:bookmarkEnd w:id="71"/>
      <w:bookmarkEnd w:id="72"/>
      <w:bookmarkEnd w:id="73"/>
      <w:bookmarkEnd w:id="74"/>
      <w:bookmarkEnd w:id="75"/>
      <w:bookmarkEnd w:id="76"/>
    </w:p>
    <w:p>
      <w:pPr>
        <w:spacing w:line="578" w:lineRule="exact"/>
        <w:jc w:val="center"/>
        <w:rPr>
          <w:rFonts w:hint="eastAsia" w:ascii="黑体" w:hAnsi="ˎ̥" w:eastAsia="黑体"/>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color w:val="auto"/>
          <w:sz w:val="32"/>
          <w:szCs w:val="32"/>
        </w:rPr>
        <w:t>一、收入支出总体情况说明</w:t>
      </w:r>
      <w:r>
        <w:rPr>
          <w:rFonts w:hint="eastAsia" w:ascii="黑体" w:hAnsi="黑体" w:eastAsia="黑体" w:cs="黑体"/>
          <w:bCs/>
          <w:color w:val="auto"/>
          <w:sz w:val="32"/>
          <w:szCs w:val="32"/>
        </w:rPr>
        <w:br w:type="textWrapping"/>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3,287.85</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3,287.85</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8345.96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253.84</w:t>
      </w:r>
      <w:r>
        <w:rPr>
          <w:rFonts w:hint="eastAsia" w:ascii="仿宋_GB2312" w:hAnsi="ˎ̥" w:eastAsia="仿宋_GB2312"/>
          <w:color w:val="auto"/>
          <w:sz w:val="32"/>
          <w:szCs w:val="32"/>
        </w:rPr>
        <w:t>%。主要原因：</w:t>
      </w:r>
      <w:r>
        <w:rPr>
          <w:rFonts w:hint="eastAsia" w:ascii="仿宋_GB2312" w:hAnsi="仿宋" w:eastAsia="仿宋_GB2312"/>
          <w:color w:val="auto"/>
          <w:sz w:val="32"/>
          <w:szCs w:val="32"/>
          <w:lang w:val="en-US" w:eastAsia="zh-CN"/>
        </w:rPr>
        <w:t>2024年一般公共预算项目减少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eastAsia" w:ascii="仿宋_GB2312" w:hAnsi="仿宋" w:eastAsia="仿宋_GB2312"/>
          <w:color w:val="auto"/>
          <w:sz w:val="32"/>
          <w:szCs w:val="32"/>
          <w:lang w:val="en-US" w:eastAsia="zh-CN"/>
        </w:rPr>
        <w:t>341.81万元，无</w:t>
      </w:r>
      <w:r>
        <w:rPr>
          <w:rFonts w:hint="eastAsia" w:ascii="仿宋_GB2312" w:hAnsi="ˎ̥" w:eastAsia="仿宋_GB2312"/>
          <w:color w:val="auto"/>
          <w:sz w:val="32"/>
          <w:szCs w:val="32"/>
        </w:rPr>
        <w:t>非财政拨款结余</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1.85</w:t>
      </w:r>
      <w:r>
        <w:rPr>
          <w:rFonts w:hint="eastAsia" w:ascii="仿宋_GB2312" w:hAnsi="ˎ̥" w:eastAsia="仿宋_GB2312"/>
          <w:color w:val="auto"/>
          <w:sz w:val="32"/>
          <w:szCs w:val="32"/>
        </w:rPr>
        <w:t>万元，主要是</w:t>
      </w:r>
      <w:r>
        <w:rPr>
          <w:rFonts w:hint="eastAsia" w:ascii="仿宋_GB2312" w:hAnsi="仿宋" w:eastAsia="仿宋_GB2312"/>
          <w:color w:val="auto"/>
          <w:sz w:val="32"/>
          <w:szCs w:val="32"/>
          <w:lang w:val="en-US" w:eastAsia="zh-CN"/>
        </w:rPr>
        <w:t>2018-2022年事业人员通讯补助补发</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7653.2</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69.96</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3,287.85</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结余分配</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年末结转结余。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收入决算情况说明</w:t>
      </w:r>
      <w:bookmarkStart w:id="101" w:name="_GoBack"/>
      <w:bookmarkEnd w:id="101"/>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3,286.00</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3,286.00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上级补助收入</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事业收入、经营收入</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附属单位上缴收入</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其他收入</w:t>
      </w:r>
      <w:r>
        <w:rPr>
          <w:rFonts w:hint="eastAsia" w:ascii="仿宋_GB2312" w:hAnsi="ˎ̥" w:eastAsia="仿宋_GB2312"/>
          <w:color w:val="auto"/>
          <w:sz w:val="32"/>
          <w:szCs w:val="32"/>
          <w:lang w:val="en-US" w:eastAsia="zh-CN"/>
        </w:rPr>
        <w:t>等</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lang w:val="en-US" w:eastAsia="zh-CN"/>
        </w:rPr>
        <w:t xml:space="preserve">    </w:t>
      </w: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3,287.85</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1,088.15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33.10</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2,199.70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66.90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上缴上级支出</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经营支出</w:t>
      </w:r>
      <w:r>
        <w:rPr>
          <w:rFonts w:hint="eastAsia" w:ascii="仿宋_GB2312" w:hAnsi="ˎ̥" w:eastAsia="仿宋_GB2312"/>
          <w:color w:val="auto"/>
          <w:sz w:val="32"/>
          <w:szCs w:val="32"/>
          <w:lang w:val="en-US" w:eastAsia="zh-CN"/>
        </w:rPr>
        <w:t>、对</w:t>
      </w:r>
      <w:r>
        <w:rPr>
          <w:rFonts w:hint="eastAsia" w:ascii="仿宋_GB2312" w:hAnsi="ˎ̥" w:eastAsia="仿宋_GB2312"/>
          <w:color w:val="auto"/>
          <w:sz w:val="32"/>
          <w:szCs w:val="32"/>
        </w:rPr>
        <w:t>附属单位补助支出。</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3,286.00</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3,287.85</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7652.3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69.96</w:t>
      </w:r>
      <w:r>
        <w:rPr>
          <w:rFonts w:hint="eastAsia" w:ascii="仿宋_GB2312" w:hAnsi="ˎ̥" w:eastAsia="仿宋_GB2312"/>
          <w:color w:val="auto"/>
          <w:sz w:val="32"/>
          <w:szCs w:val="32"/>
        </w:rPr>
        <w:t>%，主要原因：</w:t>
      </w:r>
      <w:r>
        <w:rPr>
          <w:rFonts w:hint="eastAsia" w:ascii="仿宋_GB2312" w:hAnsi="仿宋" w:eastAsia="仿宋_GB2312"/>
          <w:color w:val="auto"/>
          <w:sz w:val="32"/>
          <w:szCs w:val="32"/>
          <w:lang w:val="en-US" w:eastAsia="zh-CN"/>
        </w:rPr>
        <w:t>2024年一般公共预算项目减少</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8345.96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253.84</w:t>
      </w:r>
      <w:r>
        <w:rPr>
          <w:rFonts w:hint="eastAsia" w:ascii="仿宋_GB2312" w:hAnsi="ˎ̥" w:eastAsia="仿宋_GB2312"/>
          <w:color w:val="auto"/>
          <w:sz w:val="32"/>
          <w:szCs w:val="32"/>
        </w:rPr>
        <w:t>%，主要原因：</w:t>
      </w:r>
      <w:r>
        <w:rPr>
          <w:rFonts w:hint="eastAsia" w:ascii="仿宋_GB2312" w:hAnsi="仿宋" w:eastAsia="仿宋_GB2312"/>
          <w:color w:val="auto"/>
          <w:sz w:val="32"/>
          <w:szCs w:val="32"/>
          <w:lang w:val="en-US" w:eastAsia="zh-CN"/>
        </w:rPr>
        <w:t>2024年一般公共预算项目减少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1.85</w:t>
      </w:r>
      <w:r>
        <w:rPr>
          <w:rFonts w:hint="eastAsia" w:ascii="仿宋_GB2312" w:hAnsi="ˎ̥" w:eastAsia="仿宋_GB2312"/>
          <w:color w:val="auto"/>
          <w:sz w:val="32"/>
          <w:szCs w:val="32"/>
        </w:rPr>
        <w:t>万元，主要是</w:t>
      </w:r>
      <w:r>
        <w:rPr>
          <w:rFonts w:hint="default" w:ascii="仿宋_GB2312" w:hAnsi="ˎ̥" w:eastAsia="仿宋_GB2312"/>
          <w:color w:val="auto"/>
          <w:sz w:val="32"/>
          <w:szCs w:val="32"/>
          <w:lang w:val="en-US"/>
        </w:rPr>
        <w:t>2018-2022</w:t>
      </w:r>
      <w:r>
        <w:rPr>
          <w:rFonts w:hint="eastAsia" w:ascii="仿宋_GB2312" w:hAnsi="ˎ̥" w:eastAsia="仿宋_GB2312"/>
          <w:color w:val="auto"/>
          <w:sz w:val="32"/>
          <w:szCs w:val="32"/>
        </w:rPr>
        <w:t>年事业通</w:t>
      </w:r>
      <w:r>
        <w:rPr>
          <w:rFonts w:hint="eastAsia" w:ascii="仿宋_GB2312" w:hAnsi="ˎ̥" w:eastAsia="仿宋_GB2312"/>
          <w:color w:val="auto"/>
          <w:sz w:val="32"/>
          <w:szCs w:val="32"/>
          <w:lang w:eastAsia="zh-CN"/>
        </w:rPr>
        <w:t>人员</w:t>
      </w:r>
      <w:r>
        <w:rPr>
          <w:rFonts w:hint="eastAsia" w:ascii="仿宋_GB2312" w:hAnsi="ˎ̥" w:eastAsia="仿宋_GB2312"/>
          <w:color w:val="auto"/>
          <w:sz w:val="32"/>
          <w:szCs w:val="32"/>
        </w:rPr>
        <w:t>讯补助补发</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lang w:val="en-US" w:eastAsia="zh-CN"/>
        </w:rPr>
        <w:t>7653.2</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69.96</w:t>
      </w:r>
      <w:r>
        <w:rPr>
          <w:rFonts w:hint="eastAsia" w:ascii="仿宋_GB2312" w:hAnsi="ˎ̥" w:eastAsia="仿宋_GB2312"/>
          <w:color w:val="auto"/>
          <w:sz w:val="32"/>
          <w:szCs w:val="32"/>
        </w:rPr>
        <w:t>%，主要原因是</w:t>
      </w:r>
      <w:r>
        <w:rPr>
          <w:rFonts w:hint="eastAsia" w:ascii="仿宋_GB2312" w:hAnsi="仿宋" w:eastAsia="仿宋_GB2312"/>
          <w:color w:val="auto"/>
          <w:sz w:val="32"/>
          <w:szCs w:val="32"/>
          <w:lang w:val="en-US" w:eastAsia="zh-CN"/>
        </w:rPr>
        <w:t>2024年一般公共预算项目减少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财政拨款年末结转结余。</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7" w:name="_Toc21737_WPSOffice_Level2"/>
      <w:bookmarkStart w:id="78" w:name="_Toc19665_WPSOffice_Level2"/>
      <w:bookmarkStart w:id="79" w:name="_Toc23005_WPSOffice_Level2"/>
      <w:bookmarkStart w:id="80" w:name="_Toc17398_WPSOffice_Level2"/>
      <w:bookmarkStart w:id="81" w:name="_Toc9989_WPSOffice_Level2"/>
      <w:bookmarkStart w:id="82" w:name="_Toc13694_WPSOffice_Level2"/>
      <w:r>
        <w:rPr>
          <w:rFonts w:hint="eastAsia" w:ascii="楷体" w:hAnsi="楷体" w:eastAsia="楷体" w:cs="楷体"/>
          <w:color w:val="auto"/>
          <w:sz w:val="32"/>
          <w:szCs w:val="32"/>
        </w:rPr>
        <w:t>（一）一般公共预算财政拨款支出决算总体情况</w:t>
      </w:r>
      <w:bookmarkEnd w:id="77"/>
      <w:bookmarkEnd w:id="78"/>
      <w:bookmarkEnd w:id="79"/>
      <w:bookmarkEnd w:id="80"/>
      <w:bookmarkEnd w:id="81"/>
      <w:bookmarkEnd w:id="8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3,287.85</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8345.96</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253.84</w:t>
      </w:r>
      <w:r>
        <w:rPr>
          <w:rFonts w:hint="eastAsia" w:ascii="仿宋_GB2312" w:hAnsi="ˎ̥" w:eastAsia="仿宋_GB2312"/>
          <w:color w:val="auto"/>
          <w:sz w:val="32"/>
          <w:szCs w:val="32"/>
        </w:rPr>
        <w:t>%。主要原因是</w:t>
      </w:r>
      <w:r>
        <w:rPr>
          <w:rFonts w:hint="eastAsia" w:ascii="仿宋_GB2312" w:hAnsi="仿宋" w:eastAsia="仿宋_GB2312"/>
          <w:color w:val="auto"/>
          <w:sz w:val="32"/>
          <w:szCs w:val="32"/>
          <w:lang w:val="en-US" w:eastAsia="zh-CN"/>
        </w:rPr>
        <w:t>2024年一般公共预算项目减少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3" w:name="_Toc27767_WPSOffice_Level2"/>
      <w:bookmarkStart w:id="84" w:name="_Toc18793_WPSOffice_Level2"/>
      <w:bookmarkStart w:id="85" w:name="_Toc19535_WPSOffice_Level2"/>
      <w:bookmarkStart w:id="86" w:name="_Toc2711_WPSOffice_Level2"/>
      <w:bookmarkStart w:id="87" w:name="_Toc23864_WPSOffice_Level2"/>
      <w:bookmarkStart w:id="88" w:name="_Toc19075_WPSOffice_Level2"/>
      <w:r>
        <w:rPr>
          <w:rFonts w:hint="eastAsia" w:ascii="楷体" w:hAnsi="楷体" w:eastAsia="楷体" w:cs="楷体"/>
          <w:color w:val="auto"/>
          <w:sz w:val="32"/>
          <w:szCs w:val="32"/>
        </w:rPr>
        <w:t>（二）一般公共预算财政拨款支出决算结构情况</w:t>
      </w:r>
      <w:bookmarkEnd w:id="83"/>
      <w:bookmarkEnd w:id="84"/>
      <w:bookmarkEnd w:id="85"/>
      <w:bookmarkEnd w:id="86"/>
      <w:bookmarkEnd w:id="87"/>
      <w:bookmarkEnd w:id="88"/>
    </w:p>
    <w:p>
      <w:pPr>
        <w:keepNext w:val="0"/>
        <w:keepLines w:val="0"/>
        <w:widowControl/>
        <w:suppressLineNumbers w:val="0"/>
        <w:jc w:val="left"/>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3,287.85</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389.27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11.84</w:t>
      </w:r>
      <w:r>
        <w:rPr>
          <w:rFonts w:hint="eastAsia" w:ascii="仿宋_GB2312" w:hAnsi="ˎ̥" w:eastAsia="仿宋_GB2312"/>
          <w:color w:val="auto"/>
          <w:sz w:val="32"/>
          <w:szCs w:val="32"/>
        </w:rPr>
        <w:t>%；</w:t>
      </w:r>
      <w:r>
        <w:rPr>
          <w:rFonts w:hint="eastAsia" w:ascii="仿宋_GB2312" w:hAnsi="ˎ̥" w:eastAsia="仿宋_GB2312"/>
          <w:b/>
          <w:color w:val="auto"/>
          <w:sz w:val="32"/>
          <w:szCs w:val="32"/>
          <w:lang w:val="en-US" w:eastAsia="zh-CN"/>
        </w:rPr>
        <w:t>卫生健康支出</w:t>
      </w:r>
      <w:r>
        <w:rPr>
          <w:rFonts w:hint="eastAsia" w:ascii="仿宋_GB2312" w:hAnsi="ˎ̥" w:eastAsia="仿宋_GB2312"/>
          <w:b/>
          <w:bCs/>
          <w:color w:val="auto"/>
          <w:sz w:val="32"/>
          <w:szCs w:val="32"/>
        </w:rPr>
        <w:t>（类）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19.25</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0.59</w:t>
      </w:r>
      <w:r>
        <w:rPr>
          <w:rFonts w:hint="eastAsia" w:ascii="仿宋_GB2312" w:hAnsi="ˎ̥" w:eastAsia="仿宋_GB2312"/>
          <w:color w:val="auto"/>
          <w:sz w:val="32"/>
          <w:szCs w:val="32"/>
        </w:rPr>
        <w:t>%；</w:t>
      </w:r>
      <w:r>
        <w:rPr>
          <w:rFonts w:hint="eastAsia" w:ascii="仿宋_GB2312" w:hAnsi="ˎ̥" w:eastAsia="仿宋_GB2312"/>
          <w:b/>
          <w:color w:val="auto"/>
          <w:sz w:val="32"/>
          <w:szCs w:val="32"/>
          <w:lang w:val="en-US" w:eastAsia="zh-CN"/>
        </w:rPr>
        <w:t>资源勘探工业信息等支出</w:t>
      </w:r>
      <w:r>
        <w:rPr>
          <w:rFonts w:hint="eastAsia" w:ascii="仿宋_GB2312" w:hAnsi="ˎ̥" w:eastAsia="仿宋_GB2312"/>
          <w:b/>
          <w:bCs/>
          <w:color w:val="auto"/>
          <w:sz w:val="32"/>
          <w:szCs w:val="32"/>
        </w:rPr>
        <w:t>（类）</w:t>
      </w:r>
      <w:r>
        <w:rPr>
          <w:rFonts w:hint="eastAsia" w:ascii="仿宋_GB2312" w:hAnsi="ˎ̥" w:eastAsia="仿宋_GB2312"/>
          <w:color w:val="auto"/>
          <w:sz w:val="32"/>
          <w:szCs w:val="32"/>
        </w:rPr>
        <w:t>支出</w:t>
      </w:r>
      <w:r>
        <w:rPr>
          <w:rFonts w:hint="eastAsia" w:ascii="仿宋_GB2312" w:hAnsi="ˎ̥" w:eastAsia="仿宋_GB2312"/>
          <w:color w:val="auto"/>
          <w:sz w:val="32"/>
          <w:szCs w:val="32"/>
          <w:highlight w:val="none"/>
          <w:lang w:val="en-US" w:eastAsia="zh-CN"/>
        </w:rPr>
        <w:t>1529.36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46.51</w:t>
      </w:r>
      <w:r>
        <w:rPr>
          <w:rFonts w:hint="eastAsia" w:ascii="仿宋_GB2312" w:hAnsi="ˎ̥" w:eastAsia="仿宋_GB2312"/>
          <w:color w:val="auto"/>
          <w:sz w:val="32"/>
          <w:szCs w:val="32"/>
        </w:rPr>
        <w:t>%；</w:t>
      </w:r>
      <w:r>
        <w:rPr>
          <w:rFonts w:hint="eastAsia" w:ascii="仿宋_GB2312" w:hAnsi="ˎ̥" w:eastAsia="仿宋_GB2312"/>
          <w:b/>
          <w:color w:val="auto"/>
          <w:sz w:val="32"/>
          <w:szCs w:val="32"/>
          <w:lang w:val="en-US" w:eastAsia="zh-CN"/>
        </w:rPr>
        <w:t xml:space="preserve"> 自然资源海洋气象</w:t>
      </w:r>
      <w:r>
        <w:rPr>
          <w:rFonts w:hint="eastAsia" w:ascii="仿宋_GB2312" w:hAnsi="ˎ̥" w:eastAsia="仿宋_GB2312"/>
          <w:b/>
          <w:color w:val="auto"/>
          <w:sz w:val="32"/>
          <w:szCs w:val="32"/>
        </w:rPr>
        <w:t>（类）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5.92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0.18</w:t>
      </w:r>
      <w:r>
        <w:rPr>
          <w:rFonts w:hint="eastAsia" w:ascii="仿宋_GB2312" w:hAnsi="ˎ̥" w:eastAsia="仿宋_GB2312"/>
          <w:color w:val="auto"/>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38.76</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1.18</w:t>
      </w:r>
      <w:r>
        <w:rPr>
          <w:rFonts w:hint="eastAsia" w:ascii="仿宋_GB2312" w:hAnsi="ˎ̥" w:eastAsia="仿宋_GB2312"/>
          <w:color w:val="auto"/>
          <w:sz w:val="32"/>
          <w:szCs w:val="32"/>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1305.29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39.70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89" w:name="_Toc25136_WPSOffice_Level2"/>
      <w:bookmarkStart w:id="90" w:name="_Toc29364_WPSOffice_Level2"/>
      <w:bookmarkStart w:id="91" w:name="_Toc15415_WPSOffice_Level2"/>
      <w:bookmarkStart w:id="92" w:name="_Toc21701_WPSOffice_Level2"/>
      <w:bookmarkStart w:id="93" w:name="_Toc9502_WPSOffice_Level2"/>
      <w:bookmarkStart w:id="94" w:name="_Toc22318_WPSOffice_Level2"/>
      <w:r>
        <w:rPr>
          <w:rFonts w:hint="eastAsia" w:ascii="楷体" w:hAnsi="楷体" w:eastAsia="楷体" w:cs="楷体"/>
          <w:color w:val="auto"/>
          <w:sz w:val="32"/>
          <w:szCs w:val="32"/>
        </w:rPr>
        <w:t>（三）一般公共预算财政拨款支出决算具体情况</w:t>
      </w:r>
      <w:bookmarkEnd w:id="89"/>
      <w:bookmarkEnd w:id="90"/>
      <w:bookmarkEnd w:id="91"/>
      <w:bookmarkEnd w:id="92"/>
      <w:bookmarkEnd w:id="93"/>
      <w:bookmarkEnd w:id="94"/>
    </w:p>
    <w:p>
      <w:pPr>
        <w:keepNext w:val="0"/>
        <w:keepLines w:val="0"/>
        <w:widowControl/>
        <w:suppressLineNumbers w:val="0"/>
        <w:jc w:val="left"/>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3,286.00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3,287.85</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%。其中：一般公共服务支出</w:t>
      </w:r>
      <w:r>
        <w:rPr>
          <w:rFonts w:hint="eastAsia" w:ascii="仿宋_GB2312" w:hAnsi="ˎ̥" w:eastAsia="仿宋_GB2312"/>
          <w:color w:val="auto"/>
          <w:sz w:val="32"/>
          <w:szCs w:val="32"/>
          <w:lang w:val="en-US" w:eastAsia="zh-CN"/>
        </w:rPr>
        <w:t>389.27</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支出决算为</w:t>
      </w:r>
      <w:r>
        <w:rPr>
          <w:rFonts w:hint="eastAsia" w:ascii="仿宋_GB2312" w:hAnsi="ˎ̥" w:eastAsia="仿宋_GB2312"/>
          <w:color w:val="auto"/>
          <w:sz w:val="32"/>
          <w:szCs w:val="32"/>
          <w:lang w:val="en-US" w:eastAsia="zh-CN"/>
        </w:rPr>
        <w:t>389.27</w:t>
      </w:r>
      <w:r>
        <w:rPr>
          <w:rFonts w:hint="eastAsia" w:ascii="仿宋_GB2312" w:hAnsi="ˎ̥" w:eastAsia="仿宋_GB2312"/>
          <w:color w:val="auto"/>
          <w:sz w:val="32"/>
          <w:szCs w:val="32"/>
        </w:rPr>
        <w:t>万元；</w:t>
      </w:r>
      <w:r>
        <w:rPr>
          <w:rFonts w:hint="eastAsia" w:ascii="仿宋_GB2312" w:hAnsi="ˎ̥" w:eastAsia="仿宋_GB2312"/>
          <w:b w:val="0"/>
          <w:bCs/>
          <w:color w:val="auto"/>
          <w:sz w:val="32"/>
          <w:szCs w:val="32"/>
        </w:rPr>
        <w:t>社会保障和就业</w:t>
      </w:r>
      <w:r>
        <w:rPr>
          <w:rFonts w:hint="eastAsia" w:ascii="仿宋_GB2312" w:hAnsi="ˎ̥" w:eastAsia="仿宋_GB2312"/>
          <w:color w:val="auto"/>
          <w:sz w:val="32"/>
          <w:szCs w:val="32"/>
        </w:rPr>
        <w:t>支出年初预算为</w:t>
      </w:r>
      <w:r>
        <w:rPr>
          <w:rFonts w:hint="eastAsia" w:ascii="仿宋_GB2312" w:hAnsi="ˎ̥" w:eastAsia="仿宋_GB2312"/>
          <w:color w:val="auto"/>
          <w:sz w:val="32"/>
          <w:szCs w:val="32"/>
          <w:lang w:val="en-US" w:eastAsia="zh-CN"/>
        </w:rPr>
        <w:t>38.76</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支出决算为</w:t>
      </w:r>
      <w:r>
        <w:rPr>
          <w:rFonts w:hint="eastAsia" w:ascii="仿宋_GB2312" w:hAnsi="ˎ̥" w:eastAsia="仿宋_GB2312"/>
          <w:color w:val="auto"/>
          <w:sz w:val="32"/>
          <w:szCs w:val="32"/>
          <w:lang w:val="en-US" w:eastAsia="zh-CN"/>
        </w:rPr>
        <w:t>38.76</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卫生健康支出</w:t>
      </w: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19.25万元，</w:t>
      </w:r>
      <w:r>
        <w:rPr>
          <w:rFonts w:hint="eastAsia" w:ascii="仿宋_GB2312" w:hAnsi="ˎ̥" w:eastAsia="仿宋_GB2312"/>
          <w:color w:val="auto"/>
          <w:sz w:val="32"/>
          <w:szCs w:val="32"/>
        </w:rPr>
        <w:t>支出决算为</w:t>
      </w:r>
      <w:r>
        <w:rPr>
          <w:rFonts w:hint="eastAsia" w:ascii="仿宋_GB2312" w:hAnsi="ˎ̥" w:eastAsia="仿宋_GB2312"/>
          <w:color w:val="auto"/>
          <w:sz w:val="32"/>
          <w:szCs w:val="32"/>
          <w:lang w:val="en-US" w:eastAsia="zh-CN"/>
        </w:rPr>
        <w:t>19.25万元；资源勘探工业信息</w:t>
      </w:r>
      <w:r>
        <w:rPr>
          <w:rFonts w:hint="eastAsia" w:ascii="仿宋_GB2312" w:hAnsi="ˎ̥" w:eastAsia="仿宋_GB2312"/>
          <w:color w:val="auto"/>
          <w:sz w:val="32"/>
          <w:szCs w:val="32"/>
        </w:rPr>
        <w:t>支出年初预算为</w:t>
      </w:r>
      <w:r>
        <w:rPr>
          <w:rFonts w:hint="eastAsia" w:ascii="仿宋_GB2312" w:hAnsi="ˎ̥" w:eastAsia="仿宋_GB2312"/>
          <w:color w:val="auto"/>
          <w:sz w:val="32"/>
          <w:szCs w:val="32"/>
          <w:highlight w:val="none"/>
          <w:lang w:val="en-US" w:eastAsia="zh-CN"/>
        </w:rPr>
        <w:t>1529.36</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1529.36万元；</w:t>
      </w:r>
      <w:r>
        <w:rPr>
          <w:rFonts w:hint="eastAsia" w:ascii="仿宋_GB2312" w:hAnsi="ˎ̥" w:eastAsia="仿宋_GB2312"/>
          <w:b w:val="0"/>
          <w:bCs w:val="0"/>
          <w:color w:val="auto"/>
          <w:sz w:val="32"/>
          <w:szCs w:val="32"/>
          <w:lang w:val="en-US" w:eastAsia="zh-CN"/>
        </w:rPr>
        <w:t>自然资源海洋气象</w:t>
      </w:r>
      <w:r>
        <w:rPr>
          <w:rFonts w:hint="eastAsia" w:ascii="仿宋_GB2312" w:hAnsi="ˎ̥" w:eastAsia="仿宋_GB2312"/>
          <w:b w:val="0"/>
          <w:bCs w:val="0"/>
          <w:color w:val="auto"/>
          <w:sz w:val="32"/>
          <w:szCs w:val="32"/>
        </w:rPr>
        <w:t>支出</w:t>
      </w:r>
      <w:r>
        <w:rPr>
          <w:rFonts w:hint="eastAsia" w:ascii="仿宋_GB2312" w:hAnsi="ˎ̥" w:eastAsia="仿宋_GB2312"/>
          <w:color w:val="auto"/>
          <w:sz w:val="32"/>
          <w:szCs w:val="32"/>
        </w:rPr>
        <w:t>年初预算</w:t>
      </w:r>
      <w:r>
        <w:rPr>
          <w:rFonts w:hint="eastAsia" w:ascii="仿宋_GB2312" w:hAnsi="ˎ̥" w:eastAsia="仿宋_GB2312"/>
          <w:b w:val="0"/>
          <w:bCs w:val="0"/>
          <w:color w:val="auto"/>
          <w:sz w:val="32"/>
          <w:szCs w:val="32"/>
          <w:lang w:val="en-US" w:eastAsia="zh-CN"/>
        </w:rPr>
        <w:t>5.92</w:t>
      </w:r>
      <w:r>
        <w:rPr>
          <w:rFonts w:hint="eastAsia" w:ascii="仿宋_GB2312" w:hAnsi="ˎ̥" w:eastAsia="仿宋_GB2312"/>
          <w:b w:val="0"/>
          <w:bCs w:val="0"/>
          <w:color w:val="auto"/>
          <w:sz w:val="32"/>
          <w:szCs w:val="32"/>
        </w:rPr>
        <w:t>万元，</w:t>
      </w:r>
      <w:r>
        <w:rPr>
          <w:rFonts w:hint="eastAsia" w:ascii="仿宋_GB2312" w:hAnsi="ˎ̥" w:eastAsia="仿宋_GB2312"/>
          <w:color w:val="auto"/>
          <w:sz w:val="32"/>
          <w:szCs w:val="32"/>
        </w:rPr>
        <w:t>支出决算为</w:t>
      </w:r>
      <w:r>
        <w:rPr>
          <w:rFonts w:hint="eastAsia" w:ascii="仿宋_GB2312" w:hAnsi="ˎ̥" w:eastAsia="仿宋_GB2312"/>
          <w:color w:val="auto"/>
          <w:sz w:val="32"/>
          <w:szCs w:val="32"/>
          <w:lang w:val="en-US" w:eastAsia="zh-CN"/>
        </w:rPr>
        <w:t>5.92万元；</w:t>
      </w:r>
      <w:r>
        <w:rPr>
          <w:rFonts w:hint="eastAsia" w:ascii="仿宋_GB2312" w:hAnsi="ˎ̥" w:eastAsia="仿宋_GB2312"/>
          <w:b w:val="0"/>
          <w:bCs w:val="0"/>
          <w:color w:val="auto"/>
          <w:sz w:val="32"/>
          <w:szCs w:val="32"/>
        </w:rPr>
        <w:t>住房保障</w:t>
      </w:r>
      <w:r>
        <w:rPr>
          <w:rFonts w:hint="eastAsia" w:ascii="仿宋_GB2312" w:hAnsi="ˎ̥" w:eastAsia="仿宋_GB2312"/>
          <w:color w:val="auto"/>
          <w:sz w:val="32"/>
          <w:szCs w:val="32"/>
        </w:rPr>
        <w:t>支出年初预算为</w:t>
      </w:r>
      <w:r>
        <w:rPr>
          <w:rFonts w:hint="eastAsia" w:ascii="仿宋_GB2312" w:hAnsi="ˎ̥" w:eastAsia="仿宋_GB2312"/>
          <w:color w:val="auto"/>
          <w:sz w:val="32"/>
          <w:szCs w:val="32"/>
          <w:lang w:val="en-US" w:eastAsia="zh-CN"/>
        </w:rPr>
        <w:t>1305.29</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支出决算为</w:t>
      </w:r>
      <w:r>
        <w:rPr>
          <w:rFonts w:hint="eastAsia" w:ascii="仿宋_GB2312" w:hAnsi="ˎ̥" w:eastAsia="仿宋_GB2312"/>
          <w:color w:val="auto"/>
          <w:sz w:val="32"/>
          <w:szCs w:val="32"/>
          <w:lang w:val="en-US" w:eastAsia="zh-CN"/>
        </w:rPr>
        <w:t>1305.29</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lang w:val="en-US" w:eastAsia="zh-CN"/>
        </w:rPr>
        <w:t xml:space="preserve">    </w:t>
      </w: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1,088.15</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1,061.59</w:t>
      </w:r>
      <w:r>
        <w:rPr>
          <w:rFonts w:hint="eastAsia" w:ascii="仿宋_GB2312" w:hAnsi="ˎ̥" w:eastAsia="仿宋_GB2312"/>
          <w:color w:val="auto"/>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26.56</w:t>
      </w:r>
      <w:r>
        <w:rPr>
          <w:rFonts w:hint="eastAsia" w:ascii="仿宋_GB2312" w:hAnsi="ˎ̥" w:eastAsia="仿宋_GB2312"/>
          <w:color w:val="auto"/>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政府性基金预算财政拨款支出。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政府性基金预算财政拨款支出。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政府性基金预算财政拨款支出</w:t>
      </w:r>
      <w:r>
        <w:rPr>
          <w:rFonts w:hint="eastAsia" w:ascii="仿宋_GB2312" w:hAnsi="ˎ̥" w:eastAsia="仿宋_GB2312"/>
          <w:color w:val="auto"/>
          <w:sz w:val="32"/>
          <w:szCs w:val="32"/>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国有资本经营预算财政拨款支出。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国有资本经营预算财政拨款支出。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国有资本经营预算财政拨款支出。</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eastAsia" w:ascii="仿宋_GB2312" w:hAnsi="ˎ̥" w:eastAsia="仿宋_GB2312"/>
          <w:color w:val="auto"/>
          <w:sz w:val="32"/>
          <w:szCs w:val="32"/>
          <w:lang w:val="en-US" w:eastAsia="zh-CN"/>
        </w:rPr>
        <w:t>2.48</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2.48</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hint="eastAsia" w:ascii="仿宋_GB2312" w:hAnsi="ˎ̥" w:eastAsia="仿宋_GB2312"/>
          <w:color w:val="auto"/>
          <w:sz w:val="32"/>
          <w:szCs w:val="32"/>
          <w:lang w:val="en-US" w:eastAsia="zh-CN"/>
        </w:rPr>
        <w:t>0.63</w:t>
      </w:r>
      <w:r>
        <w:rPr>
          <w:rFonts w:hint="eastAsia" w:ascii="仿宋_GB2312" w:hAnsi="ˎ̥" w:eastAsia="仿宋_GB2312"/>
          <w:color w:val="auto"/>
          <w:sz w:val="32"/>
          <w:szCs w:val="32"/>
        </w:rPr>
        <w:t>万元</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同比</w:t>
      </w:r>
      <w:r>
        <w:rPr>
          <w:rFonts w:ascii="仿宋_GB2312" w:hAnsi="ˎ̥" w:eastAsia="仿宋_GB2312"/>
          <w:color w:val="auto"/>
          <w:sz w:val="32"/>
          <w:szCs w:val="32"/>
        </w:rPr>
        <w:t>增长</w:t>
      </w:r>
      <w:r>
        <w:rPr>
          <w:rFonts w:hint="eastAsia" w:ascii="仿宋_GB2312" w:hAnsi="仿宋" w:eastAsia="仿宋_GB2312"/>
          <w:color w:val="auto"/>
          <w:sz w:val="32"/>
          <w:szCs w:val="32"/>
          <w:lang w:val="en-US" w:eastAsia="zh-CN"/>
        </w:rPr>
        <w:t>34.05%</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年度财政拨款“三公”经费支出决算中，公务用车运行维护费支出决算</w:t>
      </w:r>
      <w:r>
        <w:rPr>
          <w:rFonts w:hint="eastAsia" w:ascii="仿宋_GB2312" w:hAnsi="ˎ̥" w:eastAsia="仿宋_GB2312"/>
          <w:color w:val="auto"/>
          <w:sz w:val="32"/>
          <w:szCs w:val="32"/>
          <w:lang w:val="en-US" w:eastAsia="zh-CN"/>
        </w:rPr>
        <w:t>2.48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无</w:t>
      </w:r>
      <w:r>
        <w:rPr>
          <w:rFonts w:hint="eastAsia" w:ascii="仿宋_GB2312" w:hAnsi="ˎ̥" w:eastAsia="仿宋_GB2312"/>
          <w:color w:val="auto"/>
          <w:sz w:val="32"/>
          <w:szCs w:val="32"/>
        </w:rPr>
        <w:t>因公出国（境）费支出</w:t>
      </w:r>
      <w:r>
        <w:rPr>
          <w:rFonts w:hint="eastAsia" w:ascii="仿宋_GB2312" w:hAnsi="ˎ̥" w:eastAsia="仿宋_GB2312"/>
          <w:color w:val="auto"/>
          <w:sz w:val="32"/>
          <w:szCs w:val="32"/>
          <w:lang w:val="en-US" w:eastAsia="zh-CN"/>
        </w:rPr>
        <w:t>和</w:t>
      </w:r>
      <w:r>
        <w:rPr>
          <w:rFonts w:hint="eastAsia" w:ascii="仿宋_GB2312" w:hAnsi="ˎ̥" w:eastAsia="仿宋_GB2312"/>
          <w:color w:val="auto"/>
          <w:sz w:val="32"/>
          <w:szCs w:val="32"/>
        </w:rPr>
        <w:t>公务接待费支出</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lang w:eastAsia="zh-CN"/>
        </w:rPr>
      </w:pPr>
      <w:r>
        <w:rPr>
          <w:rFonts w:hint="eastAsia" w:ascii="仿宋_GB2312" w:hAnsi="ˎ̥" w:eastAsia="仿宋_GB2312"/>
          <w:b/>
          <w:color w:val="auto"/>
          <w:sz w:val="32"/>
          <w:szCs w:val="32"/>
          <w:lang w:val="en-US" w:eastAsia="zh-CN"/>
        </w:rPr>
        <w:t xml:space="preserve">   </w:t>
      </w:r>
      <w:r>
        <w:rPr>
          <w:rFonts w:hint="eastAsia" w:ascii="仿宋_GB2312" w:hAnsi="ˎ̥" w:eastAsia="仿宋_GB2312"/>
          <w:b/>
          <w:color w:val="auto"/>
          <w:sz w:val="32"/>
          <w:szCs w:val="32"/>
        </w:rPr>
        <w:t>1.</w:t>
      </w:r>
      <w:r>
        <w:rPr>
          <w:rFonts w:hint="eastAsia" w:ascii="仿宋_GB2312" w:hAnsi="ˎ̥" w:eastAsia="仿宋_GB2312"/>
          <w:b/>
          <w:bCs w:val="0"/>
          <w:color w:val="auto"/>
          <w:sz w:val="32"/>
          <w:szCs w:val="32"/>
          <w:lang w:val="en-US" w:eastAsia="zh-CN"/>
        </w:rPr>
        <w:t>无</w:t>
      </w:r>
      <w:r>
        <w:rPr>
          <w:rFonts w:hint="eastAsia" w:ascii="仿宋_GB2312" w:hAnsi="ˎ̥" w:eastAsia="仿宋_GB2312"/>
          <w:b/>
          <w:bCs w:val="0"/>
          <w:color w:val="auto"/>
          <w:sz w:val="32"/>
          <w:szCs w:val="32"/>
        </w:rPr>
        <w:t>因公出国（境）费</w:t>
      </w:r>
      <w:r>
        <w:rPr>
          <w:rFonts w:hint="eastAsia" w:ascii="仿宋_GB2312" w:hAnsi="ˎ̥" w:eastAsia="仿宋_GB2312"/>
          <w:b/>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bCs/>
          <w:color w:val="auto"/>
          <w:sz w:val="32"/>
          <w:szCs w:val="32"/>
        </w:rPr>
      </w:pPr>
      <w:r>
        <w:rPr>
          <w:rFonts w:hint="eastAsia" w:ascii="仿宋_GB2312" w:hAnsi="ˎ̥" w:eastAsia="仿宋_GB2312"/>
          <w:b/>
          <w:color w:val="auto"/>
          <w:sz w:val="32"/>
          <w:szCs w:val="32"/>
        </w:rPr>
        <w:t>2.公务用车购置及运行维护费</w:t>
      </w:r>
      <w:r>
        <w:rPr>
          <w:rFonts w:hint="eastAsia" w:ascii="仿宋_GB2312" w:hAnsi="ˎ̥" w:eastAsia="仿宋_GB2312"/>
          <w:b w:val="0"/>
          <w:bCs/>
          <w:color w:val="auto"/>
          <w:sz w:val="32"/>
          <w:szCs w:val="32"/>
        </w:rPr>
        <w:t>支出</w:t>
      </w:r>
      <w:r>
        <w:rPr>
          <w:rFonts w:hint="eastAsia" w:ascii="仿宋_GB2312" w:hAnsi="ˎ̥" w:eastAsia="仿宋_GB2312"/>
          <w:color w:val="auto"/>
          <w:sz w:val="32"/>
          <w:szCs w:val="32"/>
          <w:lang w:val="en-US" w:eastAsia="zh-CN"/>
        </w:rPr>
        <w:t>2.48</w:t>
      </w:r>
      <w:r>
        <w:rPr>
          <w:rFonts w:hint="eastAsia" w:ascii="仿宋_GB2312" w:hAnsi="ˎ̥" w:eastAsia="仿宋_GB2312"/>
          <w:color w:val="auto"/>
          <w:sz w:val="32"/>
          <w:szCs w:val="32"/>
        </w:rPr>
        <w:t>万元。其中：</w:t>
      </w: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2.48</w:t>
      </w:r>
      <w:r>
        <w:rPr>
          <w:rFonts w:hint="eastAsia" w:ascii="仿宋_GB2312" w:hAnsi="ˎ̥" w:eastAsia="仿宋_GB2312"/>
          <w:color w:val="auto"/>
          <w:sz w:val="32"/>
          <w:szCs w:val="32"/>
        </w:rPr>
        <w:t>万元，主要用于</w:t>
      </w:r>
      <w:r>
        <w:rPr>
          <w:rFonts w:hint="eastAsia" w:ascii="仿宋_GB2312" w:hAnsi="ˎ̥" w:eastAsia="仿宋_GB2312"/>
          <w:color w:val="auto"/>
          <w:sz w:val="32"/>
          <w:szCs w:val="32"/>
          <w:lang w:val="en-US" w:eastAsia="zh-CN"/>
        </w:rPr>
        <w:t>出差下乡油料费</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bCs/>
          <w:color w:val="auto"/>
          <w:sz w:val="32"/>
          <w:szCs w:val="32"/>
        </w:rPr>
        <w:t>公务用车运行维护费</w:t>
      </w:r>
      <w:r>
        <w:rPr>
          <w:rFonts w:hint="eastAsia" w:ascii="仿宋_GB2312" w:hAnsi="ˎ̥" w:eastAsia="仿宋_GB2312"/>
          <w:color w:val="auto"/>
          <w:sz w:val="32"/>
          <w:szCs w:val="32"/>
        </w:rPr>
        <w:t>支出增加</w:t>
      </w:r>
      <w:r>
        <w:rPr>
          <w:rFonts w:hint="eastAsia" w:ascii="仿宋_GB2312" w:hAnsi="ˎ̥" w:eastAsia="仿宋_GB2312"/>
          <w:color w:val="auto"/>
          <w:sz w:val="32"/>
          <w:szCs w:val="32"/>
          <w:lang w:val="en-US" w:eastAsia="zh-CN"/>
        </w:rPr>
        <w:t>0.63</w:t>
      </w:r>
      <w:r>
        <w:rPr>
          <w:rFonts w:hint="eastAsia" w:ascii="仿宋_GB2312" w:hAnsi="ˎ̥" w:eastAsia="仿宋_GB2312"/>
          <w:color w:val="auto"/>
          <w:sz w:val="32"/>
          <w:szCs w:val="32"/>
        </w:rPr>
        <w:t>万元</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同比</w:t>
      </w:r>
      <w:r>
        <w:rPr>
          <w:rFonts w:ascii="仿宋_GB2312" w:hAnsi="ˎ̥" w:eastAsia="仿宋_GB2312"/>
          <w:color w:val="auto"/>
          <w:sz w:val="32"/>
          <w:szCs w:val="32"/>
        </w:rPr>
        <w:t>增长</w:t>
      </w:r>
      <w:r>
        <w:rPr>
          <w:rFonts w:hint="eastAsia" w:ascii="仿宋_GB2312" w:hAnsi="仿宋" w:eastAsia="仿宋_GB2312"/>
          <w:color w:val="auto"/>
          <w:sz w:val="32"/>
          <w:szCs w:val="32"/>
          <w:lang w:val="en-US" w:eastAsia="zh-CN"/>
        </w:rPr>
        <w:t>27.92%</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lang w:val="en-US" w:eastAsia="zh-CN"/>
        </w:rPr>
        <w:t xml:space="preserve">    </w:t>
      </w:r>
      <w:r>
        <w:rPr>
          <w:rFonts w:hint="eastAsia" w:ascii="仿宋_GB2312" w:hAnsi="ˎ̥" w:eastAsia="仿宋_GB2312"/>
          <w:b/>
          <w:color w:val="auto"/>
          <w:sz w:val="32"/>
          <w:szCs w:val="32"/>
        </w:rPr>
        <w:t xml:space="preserve"> 3.</w:t>
      </w:r>
      <w:r>
        <w:rPr>
          <w:rFonts w:hint="eastAsia" w:ascii="仿宋_GB2312" w:hAnsi="ˎ̥" w:eastAsia="仿宋_GB2312"/>
          <w:b/>
          <w:color w:val="auto"/>
          <w:sz w:val="32"/>
          <w:szCs w:val="32"/>
          <w:lang w:val="en-US" w:eastAsia="zh-CN"/>
        </w:rPr>
        <w:t>无</w:t>
      </w:r>
      <w:r>
        <w:rPr>
          <w:rFonts w:hint="eastAsia" w:ascii="仿宋_GB2312" w:hAnsi="ˎ̥" w:eastAsia="仿宋_GB2312"/>
          <w:b/>
          <w:color w:val="auto"/>
          <w:sz w:val="32"/>
          <w:szCs w:val="32"/>
        </w:rPr>
        <w:t>公务接</w:t>
      </w:r>
      <w:r>
        <w:rPr>
          <w:rFonts w:hint="eastAsia" w:ascii="仿宋_GB2312" w:hAnsi="ˎ̥" w:eastAsia="仿宋_GB2312"/>
          <w:b/>
          <w:bCs w:val="0"/>
          <w:color w:val="auto"/>
          <w:sz w:val="32"/>
          <w:szCs w:val="32"/>
        </w:rPr>
        <w:t>待费</w:t>
      </w:r>
      <w:r>
        <w:rPr>
          <w:rFonts w:hint="eastAsia" w:ascii="仿宋_GB2312" w:hAnsi="ˎ̥" w:eastAsia="仿宋_GB2312"/>
          <w:b/>
          <w:bCs w:val="0"/>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 w:hAnsi="仿宋" w:eastAsia="仿宋" w:cs="仿宋"/>
          <w:color w:val="auto"/>
          <w:sz w:val="32"/>
          <w:szCs w:val="32"/>
        </w:rPr>
      </w:pPr>
      <w:r>
        <w:rPr>
          <w:rFonts w:hint="eastAsia" w:ascii="仿宋_GB2312" w:eastAsia="仿宋_GB2312"/>
          <w:color w:val="auto"/>
          <w:sz w:val="32"/>
          <w:szCs w:val="32"/>
        </w:rPr>
        <w:t>根据预算管理要求，</w:t>
      </w:r>
      <w:r>
        <w:rPr>
          <w:rFonts w:hint="eastAsia" w:ascii="仿宋" w:hAnsi="仿宋" w:eastAsia="仿宋" w:cs="仿宋"/>
          <w:color w:val="auto"/>
          <w:sz w:val="32"/>
          <w:szCs w:val="32"/>
        </w:rPr>
        <w:t>实行绩效目标管理项目</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个，资金</w:t>
      </w:r>
      <w:r>
        <w:rPr>
          <w:rFonts w:hint="eastAsia" w:ascii="仿宋_GB2312" w:eastAsia="仿宋_GB2312"/>
          <w:color w:val="auto"/>
          <w:sz w:val="32"/>
          <w:szCs w:val="32"/>
          <w:lang w:val="en-US" w:eastAsia="zh-CN" w:bidi="ar"/>
        </w:rPr>
        <w:t>2199.85</w:t>
      </w:r>
      <w:r>
        <w:rPr>
          <w:rFonts w:hint="eastAsia" w:ascii="仿宋" w:hAnsi="仿宋" w:eastAsia="仿宋" w:cs="仿宋"/>
          <w:color w:val="auto"/>
          <w:sz w:val="32"/>
          <w:szCs w:val="32"/>
        </w:rPr>
        <w:t>万元，实现项目支出绩效目标管理全覆盖。</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（二）部门决算中项目绩效自评结果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hAnsi="仿宋" w:eastAsia="仿宋_GB2312"/>
          <w:color w:val="auto"/>
          <w:sz w:val="32"/>
          <w:szCs w:val="32"/>
          <w:lang w:val="en-US" w:eastAsia="zh-CN"/>
        </w:rPr>
        <w:t>2024年县委党校绩效项目完成良好</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（三）部门评价结果（预算部门填写，部门所属单位不需填写）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color w:val="auto"/>
          <w:kern w:val="0"/>
          <w:sz w:val="32"/>
          <w:szCs w:val="32"/>
          <w:lang w:eastAsia="zh-CN" w:bidi="ar"/>
        </w:rPr>
      </w:pPr>
      <w:r>
        <w:rPr>
          <w:rFonts w:hint="eastAsia" w:ascii="仿宋_GB2312" w:hAnsi="仿宋_GB2312" w:eastAsia="仿宋_GB2312" w:cs="仿宋_GB2312"/>
          <w:color w:val="auto"/>
          <w:kern w:val="0"/>
          <w:sz w:val="32"/>
          <w:szCs w:val="32"/>
          <w:lang w:bidi="ar"/>
        </w:rPr>
        <w:t>部门评价项目数量</w:t>
      </w:r>
      <w:r>
        <w:rPr>
          <w:rFonts w:hint="eastAsia" w:ascii="仿宋_GB2312" w:hAnsi="仿宋_GB2312" w:eastAsia="仿宋_GB2312" w:cs="仿宋_GB2312"/>
          <w:color w:val="auto"/>
          <w:kern w:val="0"/>
          <w:sz w:val="32"/>
          <w:szCs w:val="32"/>
          <w:lang w:val="en-US" w:eastAsia="zh-CN" w:bidi="ar"/>
        </w:rPr>
        <w:t>1</w:t>
      </w:r>
      <w:r>
        <w:rPr>
          <w:rFonts w:hint="eastAsia" w:ascii="仿宋_GB2312" w:hAnsi="仿宋_GB2312" w:eastAsia="仿宋_GB2312" w:cs="仿宋_GB2312"/>
          <w:color w:val="auto"/>
          <w:kern w:val="0"/>
          <w:sz w:val="32"/>
          <w:szCs w:val="32"/>
          <w:lang w:bidi="ar"/>
        </w:rPr>
        <w:t>个，</w:t>
      </w:r>
      <w:r>
        <w:rPr>
          <w:rFonts w:hint="eastAsia" w:ascii="仿宋_GB2312" w:hAnsi="仿宋_GB2312" w:eastAsia="仿宋_GB2312" w:cs="仿宋_GB2312"/>
          <w:color w:val="auto"/>
          <w:kern w:val="0"/>
          <w:sz w:val="32"/>
          <w:szCs w:val="32"/>
          <w:lang w:val="en-US" w:eastAsia="zh-CN" w:bidi="ar"/>
        </w:rPr>
        <w:t>在单位公示栏内进行</w:t>
      </w:r>
      <w:r>
        <w:rPr>
          <w:rFonts w:hint="eastAsia" w:ascii="仿宋_GB2312" w:hAnsi="仿宋_GB2312" w:eastAsia="仿宋_GB2312" w:cs="仿宋_GB2312"/>
          <w:color w:val="auto"/>
          <w:kern w:val="0"/>
          <w:sz w:val="32"/>
          <w:szCs w:val="32"/>
          <w:lang w:bidi="ar"/>
        </w:rPr>
        <w:t>公开</w:t>
      </w:r>
      <w:r>
        <w:rPr>
          <w:rFonts w:hint="eastAsia" w:ascii="仿宋_GB2312" w:hAnsi="仿宋_GB2312" w:eastAsia="仿宋_GB2312" w:cs="仿宋_GB2312"/>
          <w:color w:val="auto"/>
          <w:kern w:val="0"/>
          <w:sz w:val="32"/>
          <w:szCs w:val="32"/>
          <w:lang w:eastAsia="zh-CN"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lang w:eastAsia="zh-CN"/>
        </w:rPr>
      </w:pPr>
      <w:r>
        <w:rPr>
          <w:rFonts w:hint="eastAsia" w:ascii="楷体" w:hAnsi="楷体" w:eastAsia="楷体" w:cs="楷体"/>
          <w:bCs/>
          <w:color w:val="auto"/>
          <w:sz w:val="32"/>
          <w:szCs w:val="32"/>
        </w:rPr>
        <w:t>（四）财政评价结果</w:t>
      </w:r>
      <w:r>
        <w:rPr>
          <w:rFonts w:hint="eastAsia" w:ascii="楷体" w:hAnsi="楷体" w:eastAsia="楷体" w:cs="楷体"/>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val="en-US" w:eastAsia="zh-CN"/>
        </w:rPr>
        <w:t>无</w:t>
      </w:r>
      <w:r>
        <w:rPr>
          <w:rFonts w:hint="eastAsia" w:ascii="仿宋_GB2312" w:eastAsia="仿宋_GB2312"/>
          <w:color w:val="auto"/>
          <w:sz w:val="32"/>
          <w:szCs w:val="32"/>
          <w:lang w:val="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5" w:name="_Toc15262_WPSOffice_Level2"/>
      <w:bookmarkStart w:id="96" w:name="_Toc32639_WPSOffice_Level2"/>
      <w:bookmarkStart w:id="97" w:name="_Toc23598_WPSOffice_Level2"/>
      <w:bookmarkStart w:id="98" w:name="_Toc5978_WPSOffice_Level2"/>
      <w:bookmarkStart w:id="99" w:name="_Toc18325_WPSOffice_Level2"/>
      <w:bookmarkStart w:id="100" w:name="_Toc15565_WPSOffice_Level2"/>
      <w:r>
        <w:rPr>
          <w:rFonts w:hint="eastAsia" w:ascii="楷体" w:hAnsi="楷体" w:eastAsia="楷体" w:cs="楷体"/>
          <w:bCs/>
          <w:color w:val="auto"/>
          <w:sz w:val="32"/>
          <w:szCs w:val="32"/>
        </w:rPr>
        <w:t>（一）机关运行经费支出情况</w:t>
      </w:r>
      <w:bookmarkEnd w:id="95"/>
      <w:bookmarkEnd w:id="96"/>
      <w:bookmarkEnd w:id="97"/>
      <w:bookmarkEnd w:id="98"/>
      <w:bookmarkEnd w:id="99"/>
      <w:bookmarkEnd w:id="10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bidi="ar"/>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eastAsia" w:ascii="仿宋_GB2312" w:hAnsi="ˎ̥" w:eastAsia="仿宋_GB2312"/>
          <w:color w:val="auto"/>
          <w:sz w:val="32"/>
          <w:szCs w:val="32"/>
          <w:lang w:val="en-US" w:eastAsia="zh-CN"/>
        </w:rPr>
        <w:t>申扎县财政局</w:t>
      </w:r>
      <w:r>
        <w:rPr>
          <w:rFonts w:hint="eastAsia" w:ascii="仿宋_GB2312" w:hAnsi="ˎ̥" w:eastAsia="仿宋_GB2312"/>
          <w:color w:val="auto"/>
          <w:sz w:val="32"/>
          <w:szCs w:val="32"/>
        </w:rPr>
        <w:t>运行经费</w:t>
      </w:r>
      <w:r>
        <w:rPr>
          <w:rFonts w:hint="eastAsia" w:ascii="仿宋_GB2312" w:hAnsi="ˎ̥" w:eastAsia="仿宋_GB2312"/>
          <w:color w:val="auto"/>
          <w:sz w:val="32"/>
          <w:szCs w:val="32"/>
          <w:lang w:val="en-US" w:eastAsia="zh-CN"/>
        </w:rPr>
        <w:t>292.60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lang w:eastAsia="zh-CN"/>
        </w:rPr>
        <w:t>减少</w:t>
      </w:r>
      <w:r>
        <w:rPr>
          <w:rFonts w:hint="eastAsia" w:ascii="仿宋_GB2312" w:hAnsi="ˎ̥" w:eastAsia="仿宋_GB2312"/>
          <w:color w:val="auto"/>
          <w:sz w:val="32"/>
          <w:szCs w:val="32"/>
          <w:lang w:val="en-US" w:eastAsia="zh-CN"/>
        </w:rPr>
        <w:t>2.11</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下降</w:t>
      </w:r>
      <w:r>
        <w:rPr>
          <w:rFonts w:hint="eastAsia" w:ascii="仿宋_GB2312" w:hAnsi="ˎ̥" w:eastAsia="仿宋_GB2312"/>
          <w:color w:val="auto"/>
          <w:sz w:val="32"/>
          <w:szCs w:val="32"/>
          <w:lang w:val="en-US" w:eastAsia="zh-CN"/>
        </w:rPr>
        <w:t>0.72</w:t>
      </w:r>
      <w:r>
        <w:rPr>
          <w:rFonts w:hint="eastAsia" w:ascii="仿宋_GB2312" w:hAnsi="ˎ̥" w:eastAsia="仿宋_GB2312"/>
          <w:color w:val="auto"/>
          <w:sz w:val="32"/>
          <w:szCs w:val="32"/>
          <w:lang w:val="en-US" w:eastAsia="zh-CN"/>
        </w:rPr>
        <w:t>%。</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bidi="ar"/>
        </w:rPr>
        <w:t>办公设施设备购置经费增加</w:t>
      </w:r>
      <w:r>
        <w:rPr>
          <w:rFonts w:hint="eastAsia" w:ascii="仿宋_GB2312" w:hAnsi="ˎ̥" w:eastAsia="仿宋_GB2312"/>
          <w:color w:val="auto"/>
          <w:sz w:val="32"/>
          <w:szCs w:val="32"/>
          <w:lang w:eastAsia="zh-CN" w:bidi="ar"/>
        </w:rPr>
        <w:t>，</w:t>
      </w:r>
      <w:r>
        <w:rPr>
          <w:rFonts w:hint="eastAsia" w:ascii="仿宋_GB2312" w:hAnsi="ˎ̥" w:eastAsia="仿宋_GB2312"/>
          <w:color w:val="auto"/>
          <w:sz w:val="32"/>
          <w:szCs w:val="32"/>
          <w:lang w:bidi="ar"/>
        </w:rPr>
        <w:t>人员数量增加</w:t>
      </w:r>
      <w:r>
        <w:rPr>
          <w:rFonts w:hint="eastAsia" w:ascii="仿宋_GB2312" w:hAnsi="ˎ̥" w:eastAsia="仿宋_GB2312"/>
          <w:color w:val="auto"/>
          <w:sz w:val="32"/>
          <w:szCs w:val="32"/>
          <w:lang w:eastAsia="zh-CN"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（二）政府采购支出情况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eastAsia="zh-CN"/>
        </w:rPr>
      </w:pPr>
      <w:r>
        <w:rPr>
          <w:rFonts w:hint="eastAsia" w:ascii="仿宋_GB2312" w:hAnsi="ˎ̥" w:eastAsia="仿宋_GB2312"/>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（三）国有资产占用情况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申扎县财政局固定资产为通用设备价值</w:t>
      </w:r>
      <w:r>
        <w:rPr>
          <w:rFonts w:hint="eastAsia" w:ascii="Times New Roman" w:hAnsi="Times New Roman" w:eastAsia="方正仿宋简体" w:cs="Times New Roman"/>
          <w:color w:val="auto"/>
          <w:sz w:val="32"/>
          <w:szCs w:val="32"/>
          <w:lang w:val="en-US" w:eastAsia="zh-CN"/>
        </w:rPr>
        <w:t>8,627.98万</w:t>
      </w:r>
      <w:r>
        <w:rPr>
          <w:rFonts w:hint="eastAsia" w:ascii="方正仿宋简体" w:hAnsi="方正仿宋简体" w:eastAsia="方正仿宋简体" w:cs="方正仿宋简体"/>
          <w:color w:val="auto"/>
          <w:sz w:val="32"/>
          <w:szCs w:val="32"/>
          <w:lang w:val="en-US" w:eastAsia="zh-CN"/>
        </w:rPr>
        <w:t>元，房屋价值7723.03家具、用具及装具价值</w:t>
      </w:r>
      <w:r>
        <w:rPr>
          <w:rFonts w:hint="eastAsia" w:ascii="Times New Roman" w:hAnsi="Times New Roman" w:eastAsia="方正仿宋简体" w:cs="Times New Roman"/>
          <w:color w:val="auto"/>
          <w:sz w:val="32"/>
          <w:szCs w:val="32"/>
          <w:lang w:val="en-US" w:eastAsia="zh-CN"/>
        </w:rPr>
        <w:t>904.95</w:t>
      </w:r>
      <w:r>
        <w:rPr>
          <w:rFonts w:hint="eastAsia" w:ascii="方正仿宋简体" w:hAnsi="方正仿宋简体" w:eastAsia="方正仿宋简体" w:cs="方正仿宋简体"/>
          <w:color w:val="auto"/>
          <w:sz w:val="32"/>
          <w:szCs w:val="32"/>
          <w:lang w:val="en-US" w:eastAsia="zh-CN"/>
        </w:rPr>
        <w:t>万元。</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十六、</w:t>
      </w:r>
      <w:r>
        <w:rPr>
          <w:rFonts w:ascii="仿宋_GB2312" w:hAnsi="ˎ̥" w:eastAsia="仿宋_GB2312"/>
          <w:color w:val="auto"/>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color w:val="auto"/>
          <w:sz w:val="32"/>
          <w:szCs w:val="32"/>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color w:val="auto"/>
          <w:sz w:val="32"/>
          <w:szCs w:val="32"/>
          <w:lang w:val="en-US" w:eastAsia="zh-CN"/>
        </w:rPr>
      </w:pPr>
      <w:r>
        <w:rPr>
          <w:rFonts w:hint="eastAsia" w:ascii="仿宋_GB2312" w:hAnsi="ˎ̥" w:eastAsia="仿宋_GB2312"/>
          <w:color w:val="auto"/>
          <w:sz w:val="32"/>
          <w:szCs w:val="32"/>
        </w:rPr>
        <w:t>XXXX（类）XXXX（款）XXXX（项），</w:t>
      </w:r>
      <w:r>
        <w:rPr>
          <w:rFonts w:ascii="仿宋_GB2312" w:hAnsi="ˎ̥" w:eastAsia="仿宋_GB2312"/>
          <w:color w:val="auto"/>
          <w:sz w:val="32"/>
          <w:szCs w:val="32"/>
        </w:rPr>
        <w:t>……</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color w:val="auto"/>
        </w:rPr>
      </w:pPr>
      <w:r>
        <w:rPr>
          <w:rFonts w:hint="eastAsia" w:ascii="仿宋_GB2312" w:hAnsi="ˎ̥" w:eastAsia="仿宋_GB2312"/>
          <w:color w:val="auto"/>
          <w:sz w:val="32"/>
          <w:szCs w:val="32"/>
        </w:rPr>
        <w:t>（注</w:t>
      </w:r>
      <w:r>
        <w:rPr>
          <w:rFonts w:ascii="仿宋_GB2312" w:hAnsi="ˎ̥" w:eastAsia="仿宋_GB2312"/>
          <w:color w:val="auto"/>
          <w:sz w:val="32"/>
          <w:szCs w:val="32"/>
        </w:rPr>
        <w:t>：</w:t>
      </w:r>
      <w:r>
        <w:rPr>
          <w:rFonts w:hint="eastAsia" w:ascii="仿宋_GB2312" w:hAnsi="ˎ̥" w:eastAsia="仿宋_GB2312"/>
          <w:color w:val="auto"/>
          <w:sz w:val="32"/>
          <w:szCs w:val="32"/>
        </w:rPr>
        <w:t>支出功能分类的名词解释，各</w:t>
      </w:r>
      <w:r>
        <w:rPr>
          <w:rFonts w:hint="eastAsia" w:ascii="仿宋_GB2312" w:hAnsi="ˎ̥" w:eastAsia="仿宋_GB2312"/>
          <w:color w:val="auto"/>
          <w:sz w:val="32"/>
          <w:szCs w:val="32"/>
          <w:lang w:val="en-US" w:eastAsia="zh-CN"/>
        </w:rPr>
        <w:t>预算</w:t>
      </w:r>
      <w:r>
        <w:rPr>
          <w:rFonts w:hint="eastAsia" w:ascii="仿宋_GB2312" w:hAnsi="ˎ̥" w:eastAsia="仿宋_GB2312"/>
          <w:color w:val="auto"/>
          <w:sz w:val="32"/>
          <w:szCs w:val="32"/>
        </w:rPr>
        <w:t>部门</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单位根据实际支出情况填列，可参阅财政部印发的《</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年政府收支分类科目》</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方正仿宋简体" w:hAnsi="方正仿宋简体" w:eastAsia="方正仿宋简体" w:cs="方正仿宋简体"/>
          <w:color w:val="auto"/>
          <w:sz w:val="32"/>
          <w:szCs w:val="32"/>
          <w:lang w:val="en-US" w:eastAsia="zh-CN"/>
        </w:rPr>
      </w:pP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方正黑体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altName w:val="黑体"/>
    <w:panose1 w:val="02000000000000000000"/>
    <w:charset w:val="86"/>
    <w:family w:val="auto"/>
    <w:pitch w:val="default"/>
    <w:sig w:usb0="00000000" w:usb1="0000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KSOFF9CBECC6">
    <w:altName w:val="宋体"/>
    <w:panose1 w:val="02010609060101010101"/>
    <w:charset w:val="86"/>
    <w:family w:val="auto"/>
    <w:pitch w:val="default"/>
    <w:sig w:usb0="00000000" w:usb1="00000000" w:usb2="00000000" w:usb3="00000000" w:csb0="00040001" w:csb1="00000000"/>
  </w:font>
  <w:font w:name="KSOFE44F9426">
    <w:altName w:val="宋体"/>
    <w:panose1 w:val="02010609060101010101"/>
    <w:charset w:val="86"/>
    <w:family w:val="auto"/>
    <w:pitch w:val="default"/>
    <w:sig w:usb0="00000000" w:usb1="00000000" w:usb2="00000000" w:usb3="00000000" w:csb0="00040001" w:csb1="00000000"/>
  </w:font>
  <w:font w:name="KSOFE4500885">
    <w:altName w:val="宋体"/>
    <w:panose1 w:val="02010609060101010101"/>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fldChar w:fldCharType="begin"/>
    </w:r>
    <w:r>
      <w:rPr>
        <w:rStyle w:val="8"/>
      </w:rPr>
      <w:instrText xml:space="preserve">PAGE  </w:instrText>
    </w:r>
    <w:r>
      <w:fldChar w:fldCharType="separate"/>
    </w:r>
    <w:r>
      <w:rPr>
        <w:rStyle w:val="8"/>
      </w:rPr>
      <w:t>18</w:t>
    </w:r>
    <w: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fldChar w:fldCharType="begin"/>
    </w:r>
    <w:r>
      <w:rPr>
        <w:rStyle w:val="8"/>
      </w:rPr>
      <w:instrText xml:space="preserve">PAGE  </w:instrText>
    </w:r>
    <w:r>
      <w:fldChar w:fldCharType="separate"/>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69775043"/>
    <w:multiLevelType w:val="singleLevel"/>
    <w:tmpl w:val="69775043"/>
    <w:lvl w:ilvl="0" w:tentative="0">
      <w:start w:val="1"/>
      <w:numFmt w:val="chineseCounting"/>
      <w:suff w:val="nothing"/>
      <w:lvlText w:val="%1、"/>
      <w:lvlJc w:val="left"/>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97430E9"/>
    <w:rsid w:val="0FC80124"/>
    <w:rsid w:val="136F98C7"/>
    <w:rsid w:val="17427E68"/>
    <w:rsid w:val="1755065F"/>
    <w:rsid w:val="1AFC29C9"/>
    <w:rsid w:val="1CA52F2E"/>
    <w:rsid w:val="1DFE370B"/>
    <w:rsid w:val="1E3630B9"/>
    <w:rsid w:val="2516651A"/>
    <w:rsid w:val="26EEC2B5"/>
    <w:rsid w:val="29472309"/>
    <w:rsid w:val="2B406E77"/>
    <w:rsid w:val="2C2A0C43"/>
    <w:rsid w:val="2CDF621C"/>
    <w:rsid w:val="2D1E73A5"/>
    <w:rsid w:val="2E383E35"/>
    <w:rsid w:val="32717154"/>
    <w:rsid w:val="34B63260"/>
    <w:rsid w:val="37FDA7E2"/>
    <w:rsid w:val="3A314D88"/>
    <w:rsid w:val="3A746883"/>
    <w:rsid w:val="3CA15DE9"/>
    <w:rsid w:val="3EC139D3"/>
    <w:rsid w:val="3FE61EE5"/>
    <w:rsid w:val="406508EE"/>
    <w:rsid w:val="40784565"/>
    <w:rsid w:val="408D6263"/>
    <w:rsid w:val="41B40CEE"/>
    <w:rsid w:val="44BC1F06"/>
    <w:rsid w:val="460E435F"/>
    <w:rsid w:val="48317291"/>
    <w:rsid w:val="485F7024"/>
    <w:rsid w:val="48E70666"/>
    <w:rsid w:val="4C6877E5"/>
    <w:rsid w:val="4D6A468D"/>
    <w:rsid w:val="4EA8070C"/>
    <w:rsid w:val="4EA86137"/>
    <w:rsid w:val="4F4A3571"/>
    <w:rsid w:val="54C85664"/>
    <w:rsid w:val="56CA7FD0"/>
    <w:rsid w:val="57FA38D1"/>
    <w:rsid w:val="5BE80399"/>
    <w:rsid w:val="5F7D3333"/>
    <w:rsid w:val="61385890"/>
    <w:rsid w:val="6671744B"/>
    <w:rsid w:val="67E4235D"/>
    <w:rsid w:val="687436E1"/>
    <w:rsid w:val="6BAA2E77"/>
    <w:rsid w:val="6DA45C50"/>
    <w:rsid w:val="6E0472B5"/>
    <w:rsid w:val="6E9A7825"/>
    <w:rsid w:val="6F670F9B"/>
    <w:rsid w:val="737450E0"/>
    <w:rsid w:val="74054476"/>
    <w:rsid w:val="7423420D"/>
    <w:rsid w:val="742F38C4"/>
    <w:rsid w:val="74AB66DC"/>
    <w:rsid w:val="74C4154C"/>
    <w:rsid w:val="74EE28F5"/>
    <w:rsid w:val="75956FFF"/>
    <w:rsid w:val="767E1BCE"/>
    <w:rsid w:val="77AA2D01"/>
    <w:rsid w:val="7956017C"/>
    <w:rsid w:val="798C63B0"/>
    <w:rsid w:val="7CDE1DBD"/>
    <w:rsid w:val="7D943A85"/>
    <w:rsid w:val="7DB0448C"/>
    <w:rsid w:val="7E3E0D1E"/>
    <w:rsid w:val="7E5F9AA4"/>
    <w:rsid w:val="8FFC8888"/>
    <w:rsid w:val="A7F73C99"/>
    <w:rsid w:val="BFFE3BF4"/>
    <w:rsid w:val="DFEBDA37"/>
    <w:rsid w:val="EF6FCA1D"/>
    <w:rsid w:val="EFFF57D6"/>
    <w:rsid w:val="FD33A2D0"/>
    <w:rsid w:val="FF7FA20F"/>
    <w:rsid w:val="FFFE81A3"/>
  </w:rsids>
  <m:mathPr>
    <m:lMargin m:val="0"/>
    <m:rMargin m:val="0"/>
    <m:wrapIndent m:val="1440"/>
    <m:brkBin m:val="before"/>
    <m:brkBinSub m:val="--"/>
    <m:defJc m:val="centerGroup"/>
    <m:intLim m:val="subSup"/>
    <m:naryLim m:val="undOvr"/>
    <m:smallFrac m:val="0"/>
    <m:dispDef/>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subject"/>
    <w:basedOn w:val="3"/>
    <w:next w:val="3"/>
    <w:link w:val="14"/>
    <w:qFormat/>
    <w:uiPriority w:val="0"/>
    <w:rPr>
      <w:b/>
      <w:bCs/>
    </w:rPr>
  </w:style>
  <w:style w:type="paragraph" w:styleId="3">
    <w:name w:val="annotation text"/>
    <w:basedOn w:val="1"/>
    <w:link w:val="11"/>
    <w:qFormat/>
    <w:uiPriority w:val="0"/>
    <w:pPr>
      <w:jc w:val="left"/>
    </w:pPr>
  </w:style>
  <w:style w:type="paragraph" w:styleId="4">
    <w:name w:val="Balloon Text"/>
    <w:basedOn w:val="1"/>
    <w:link w:val="12"/>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styleId="9">
    <w:name w:val="annotation reference"/>
    <w:qFormat/>
    <w:uiPriority w:val="0"/>
    <w:rPr>
      <w:sz w:val="21"/>
      <w:szCs w:val="21"/>
    </w:rPr>
  </w:style>
  <w:style w:type="character" w:customStyle="1" w:styleId="11">
    <w:name w:val="批注文字 Char"/>
    <w:link w:val="3"/>
    <w:qFormat/>
    <w:uiPriority w:val="0"/>
    <w:rPr>
      <w:kern w:val="2"/>
      <w:sz w:val="21"/>
      <w:szCs w:val="24"/>
    </w:rPr>
  </w:style>
  <w:style w:type="character" w:customStyle="1" w:styleId="12">
    <w:name w:val="批注框文本 Char"/>
    <w:link w:val="4"/>
    <w:qFormat/>
    <w:uiPriority w:val="0"/>
    <w:rPr>
      <w:kern w:val="2"/>
      <w:sz w:val="18"/>
      <w:szCs w:val="18"/>
    </w:rPr>
  </w:style>
  <w:style w:type="character" w:customStyle="1" w:styleId="13">
    <w:name w:val="页眉 Char"/>
    <w:link w:val="6"/>
    <w:qFormat/>
    <w:uiPriority w:val="0"/>
    <w:rPr>
      <w:kern w:val="2"/>
      <w:sz w:val="18"/>
      <w:szCs w:val="18"/>
    </w:rPr>
  </w:style>
  <w:style w:type="character" w:customStyle="1" w:styleId="14">
    <w:name w:val="批注主题 Char"/>
    <w:link w:val="2"/>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7186</Words>
  <Characters>10522</Characters>
  <Lines>67</Lines>
  <Paragraphs>18</Paragraphs>
  <ScaleCrop>false</ScaleCrop>
  <LinksUpToDate>false</LinksUpToDate>
  <CharactersWithSpaces>10608</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lenovo</cp:lastModifiedBy>
  <cp:lastPrinted>2023-08-03T00:58:00Z</cp:lastPrinted>
  <dcterms:modified xsi:type="dcterms:W3CDTF">2026-01-29T04:37:51Z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y fmtid="{D5CDD505-2E9C-101B-9397-08002B2CF9AE}" pid="3" name="ICV">
    <vt:lpwstr>03AE7F14E2DC4BACB053764200FF950D_13</vt:lpwstr>
  </property>
  <property fmtid="{D5CDD505-2E9C-101B-9397-08002B2CF9AE}" pid="4" name="KSOTemplateDocerSaveRecord">
    <vt:lpwstr>eyJoZGlkIjoiYjg3MjJkZjI1OGRjMDdlMjcxMWNlYTZkMjk3ZTYyM2EifQ==</vt:lpwstr>
  </property>
</Properties>
</file>