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w:t>
      </w:r>
      <w:r>
        <w:rPr>
          <w:rFonts w:hint="eastAsia" w:asciiTheme="majorEastAsia" w:hAnsiTheme="majorEastAsia" w:eastAsiaTheme="majorEastAsia" w:cstheme="majorEastAsia"/>
          <w:b/>
          <w:bCs/>
          <w:sz w:val="44"/>
          <w:szCs w:val="44"/>
          <w:lang w:eastAsia="zh-CN"/>
        </w:rPr>
        <w:t>人大办</w:t>
      </w:r>
      <w:r>
        <w:rPr>
          <w:rFonts w:hint="eastAsia" w:asciiTheme="majorEastAsia" w:hAnsiTheme="majorEastAsia" w:eastAsiaTheme="majorEastAsia" w:cstheme="majorEastAsia"/>
          <w:b/>
          <w:bCs/>
          <w:sz w:val="44"/>
          <w:szCs w:val="44"/>
        </w:rPr>
        <w:t>机关2024年度部门决算公开</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申扎县人大办常委会办公室</w:t>
      </w:r>
    </w:p>
    <w:p>
      <w:pPr>
        <w:spacing w:line="578" w:lineRule="exact"/>
        <w:jc w:val="center"/>
        <w:rPr>
          <w:rFonts w:hint="default" w:ascii="黑体" w:hAnsi="黑体" w:eastAsia="黑体" w:cs="黑体"/>
          <w:b/>
          <w:bCs/>
          <w:sz w:val="44"/>
          <w:szCs w:val="44"/>
          <w:lang w:val="en-US" w:eastAsia="zh-CN"/>
        </w:rPr>
      </w:pPr>
    </w:p>
    <w:p>
      <w:pPr>
        <w:spacing w:line="578" w:lineRule="exact"/>
        <w:jc w:val="center"/>
        <w:rPr>
          <w:rFonts w:hint="eastAsia" w:ascii="黑体" w:hAnsi="黑体" w:eastAsia="黑体" w:cs="黑体"/>
          <w:sz w:val="44"/>
          <w:szCs w:val="44"/>
        </w:rPr>
      </w:pPr>
    </w:p>
    <w:p>
      <w:pPr>
        <w:spacing w:line="578" w:lineRule="exact"/>
        <w:ind w:firstLine="3960" w:firstLineChars="900"/>
        <w:jc w:val="both"/>
        <w:rPr>
          <w:rFonts w:hint="eastAsia" w:ascii="黑体" w:hAnsi="黑体" w:eastAsia="黑体" w:cs="黑体"/>
          <w:sz w:val="44"/>
          <w:szCs w:val="44"/>
        </w:rPr>
      </w:pPr>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704_WPSOffice_Level1"/>
      <w:bookmarkStart w:id="4" w:name="_Toc22941_WPSOffice_Level1"/>
      <w:bookmarkStart w:id="5" w:name="_Toc10049_WPSOffice_Level1"/>
      <w:bookmarkStart w:id="6" w:name="_Toc10720_WPSOffice_Level1"/>
      <w:bookmarkStart w:id="7" w:name="_Toc32433_WPSOffice_Level1"/>
      <w:bookmarkStart w:id="8" w:name="_Toc24238_WPSOffice_Level2"/>
      <w:bookmarkStart w:id="9" w:name="_Toc32622_WPSOffice_Level2"/>
      <w:bookmarkStart w:id="10" w:name="_Toc20205_WPSOffice_Level2"/>
      <w:bookmarkStart w:id="11" w:name="_Toc20274_WPSOffice_Level2"/>
      <w:bookmarkStart w:id="12" w:name="_Toc26580_WPSOffice_Level2"/>
      <w:bookmarkStart w:id="13" w:name="_Toc14159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keepNext w:val="0"/>
        <w:keepLines w:val="0"/>
        <w:pageBreakBefore w:val="0"/>
        <w:widowControl w:val="0"/>
        <w:numPr>
          <w:ilvl w:val="0"/>
          <w:numId w:val="2"/>
        </w:numPr>
        <w:kinsoku/>
        <w:wordWrap w:val="0"/>
        <w:overflowPunct/>
        <w:topLinePunct w:val="0"/>
        <w:autoSpaceDE/>
        <w:autoSpaceDN/>
        <w:bidi w:val="0"/>
        <w:adjustRightInd/>
        <w:snapToGrid/>
        <w:spacing w:before="0" w:after="0" w:line="576" w:lineRule="exact"/>
        <w:ind w:right="18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（一）负责县人民代表大会会议、常委会会议、主任会议的服务保障工作。根据主任会议决定草拟有关法规草案。</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（二）承办权力机关交办的监督工作辅助事项。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（三）负责办理县人民代表大会选举工作及其常务委员会人事任免事项。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（四）组织办理县人大代表提出的建议、批评和意见，办理县人大代表和人民群众来信、来访工作。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lang w:eastAsia="zh-CN"/>
        </w:rPr>
      </w:pPr>
      <w:r>
        <w:rPr>
          <w:rFonts w:hint="eastAsia" w:ascii="仿宋_GB2312" w:hAnsi="ˎ̥" w:eastAsia="仿宋_GB2312" w:cs="Times New Roman"/>
          <w:sz w:val="32"/>
          <w:szCs w:val="32"/>
        </w:rPr>
        <w:t>（五）加强代表工作能力建设，引导代表致力于“四个创建”“四个走在前列”“四个示范市”依法履职。负责县人大代表名额分配、资格审查、联络服务有关工作。负责县人大和县人大常委会依法任免国家机关工作人员协调工作。负责代表集中视察、专题调研、联系群众有关制度制定和指导协调工作。承担我县市人大代表和县人大代表选举、辞职、罢免等工作，指导乡（镇）人民代表大会换届选举工作。负责县人大代表议案，建议、批评和意见工作的统筹管理。负责县人大代表履职的监督管理。负责县人大代表学习培训的统筹规划和管理。指导乡（镇）人大代表工作。负责受理人民群众对人大代表执行代表职务方面来信来访。负责起草代表方面的规范性文件。负责对选举、任免和代表工作方面相关法律执行情况进行执法检查、调查研究，提出意见建议。承担县人大常委会代表资格审查委员会的具体工作。</w:t>
      </w:r>
    </w:p>
    <w:p>
      <w:pPr>
        <w:keepNext w:val="0"/>
        <w:keepLines w:val="0"/>
        <w:pageBreakBefore w:val="0"/>
        <w:widowControl w:val="0"/>
        <w:numPr>
          <w:ilvl w:val="0"/>
          <w:numId w:val="0"/>
        </w:numPr>
        <w:kinsoku/>
        <w:wordWrap w:val="0"/>
        <w:overflowPunct/>
        <w:topLinePunct w:val="0"/>
        <w:autoSpaceDE/>
        <w:autoSpaceDN/>
        <w:bidi w:val="0"/>
        <w:adjustRightInd/>
        <w:snapToGrid/>
        <w:spacing w:before="0" w:after="0" w:line="576" w:lineRule="exact"/>
        <w:ind w:right="180" w:rightChars="0" w:firstLine="640" w:firstLineChars="200"/>
        <w:jc w:val="both"/>
        <w:textAlignment w:val="auto"/>
        <w:rPr>
          <w:rFonts w:hint="eastAsia" w:ascii="黑体" w:hAnsi="黑体" w:eastAsia="黑体" w:cs="黑体"/>
          <w:sz w:val="32"/>
          <w:szCs w:val="32"/>
        </w:rPr>
      </w:pPr>
      <w:bookmarkStart w:id="14" w:name="_Toc4833_WPSOffice_Level2"/>
      <w:bookmarkStart w:id="15" w:name="_Toc24059_WPSOffice_Level2"/>
      <w:bookmarkStart w:id="16" w:name="_Toc6572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lang w:eastAsia="zh-CN"/>
        </w:rPr>
      </w:pPr>
      <w:r>
        <w:rPr>
          <w:rFonts w:hint="eastAsia" w:ascii="仿宋_GB2312" w:hAnsi="ˎ̥" w:eastAsia="仿宋_GB2312" w:cs="Times New Roman"/>
          <w:sz w:val="32"/>
          <w:szCs w:val="32"/>
        </w:rPr>
        <w:t>申扎县</w:t>
      </w:r>
      <w:r>
        <w:rPr>
          <w:rFonts w:hint="eastAsia" w:ascii="仿宋_GB2312" w:hAnsi="ˎ̥" w:eastAsia="仿宋_GB2312" w:cs="Times New Roman"/>
          <w:sz w:val="32"/>
          <w:szCs w:val="32"/>
          <w:lang w:eastAsia="zh-CN"/>
        </w:rPr>
        <w:t>人大</w:t>
      </w:r>
      <w:r>
        <w:rPr>
          <w:rFonts w:hint="eastAsia" w:ascii="仿宋_GB2312" w:hAnsi="ˎ̥" w:eastAsia="仿宋_GB2312" w:cs="Times New Roman"/>
          <w:sz w:val="32"/>
          <w:szCs w:val="32"/>
        </w:rPr>
        <w:t>隶属行政机构，单位性质为正科级机构，社会统一信用代码为：</w:t>
      </w:r>
      <w:r>
        <w:rPr>
          <w:rFonts w:hint="eastAsia" w:ascii="仿宋_GB2312" w:hAnsi="ˎ̥" w:eastAsia="仿宋_GB2312" w:cs="Times New Roman"/>
          <w:sz w:val="32"/>
          <w:szCs w:val="32"/>
          <w:lang w:val="en-US" w:eastAsia="zh-CN"/>
        </w:rPr>
        <w:t>115242426K39846041W</w:t>
      </w:r>
      <w:r>
        <w:rPr>
          <w:rFonts w:hint="eastAsia" w:ascii="仿宋_GB2312" w:hAnsi="ˎ̥" w:eastAsia="仿宋_GB2312" w:cs="Times New Roman"/>
          <w:sz w:val="32"/>
          <w:szCs w:val="32"/>
        </w:rPr>
        <w:t>。我单位在职人数</w:t>
      </w:r>
      <w:r>
        <w:rPr>
          <w:rFonts w:hint="eastAsia" w:ascii="仿宋_GB2312" w:hAnsi="ˎ̥" w:eastAsia="仿宋_GB2312" w:cs="Times New Roman"/>
          <w:sz w:val="32"/>
          <w:szCs w:val="32"/>
          <w:lang w:val="en-US" w:eastAsia="zh-CN"/>
        </w:rPr>
        <w:t>14</w:t>
      </w:r>
      <w:r>
        <w:rPr>
          <w:rFonts w:hint="eastAsia" w:ascii="仿宋_GB2312" w:hAnsi="ˎ̥" w:eastAsia="仿宋_GB2312" w:cs="Times New Roman"/>
          <w:sz w:val="32"/>
          <w:szCs w:val="32"/>
        </w:rPr>
        <w:t>人，其中：行政编制</w:t>
      </w:r>
      <w:r>
        <w:rPr>
          <w:rFonts w:hint="eastAsia" w:ascii="仿宋_GB2312" w:hAnsi="ˎ̥" w:eastAsia="仿宋_GB2312" w:cs="Times New Roman"/>
          <w:sz w:val="32"/>
          <w:szCs w:val="32"/>
          <w:lang w:val="en-US" w:eastAsia="zh-CN"/>
        </w:rPr>
        <w:t>14</w:t>
      </w:r>
      <w:r>
        <w:rPr>
          <w:rFonts w:hint="eastAsia" w:ascii="仿宋_GB2312" w:hAnsi="ˎ̥" w:eastAsia="仿宋_GB2312" w:cs="Times New Roman"/>
          <w:sz w:val="32"/>
          <w:szCs w:val="32"/>
        </w:rPr>
        <w:t>人。</w:t>
      </w: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1280" w:firstLineChars="400"/>
        <w:jc w:val="both"/>
        <w:rPr>
          <w:rFonts w:hint="eastAsia" w:ascii="黑体" w:hAnsi="ˎ̥" w:eastAsia="黑体"/>
          <w:sz w:val="32"/>
          <w:szCs w:val="32"/>
        </w:rPr>
      </w:pPr>
      <w:bookmarkStart w:id="19" w:name="_Toc30451_WPSOffice_Level1"/>
      <w:bookmarkStart w:id="20" w:name="_Toc15521_WPSOffice_Level1"/>
      <w:bookmarkStart w:id="21" w:name="_Toc30690_WPSOffice_Level1"/>
      <w:bookmarkStart w:id="22" w:name="_Toc8164_WPSOffice_Level1"/>
      <w:bookmarkStart w:id="23" w:name="_Toc28253_WPSOffice_Level1"/>
      <w:bookmarkStart w:id="24" w:name="_Toc6234_WPSOffice_Level1"/>
      <w:bookmarkStart w:id="25" w:name="_Toc32472_WPSOffice_Level2"/>
      <w:bookmarkStart w:id="26" w:name="_Toc4029_WPSOffice_Level2"/>
      <w:bookmarkStart w:id="27" w:name="_Toc6211_WPSOffice_Level2"/>
      <w:bookmarkStart w:id="28" w:name="_Toc32695_WPSOffice_Level2"/>
      <w:bookmarkStart w:id="29" w:name="_Toc8867_WPSOffice_Level2"/>
      <w:bookmarkStart w:id="30" w:name="_Toc11518_WPSOffice_Level2"/>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6621_WPSOffice_Level2"/>
      <w:bookmarkStart w:id="32" w:name="_Toc23139_WPSOffice_Level2"/>
      <w:bookmarkStart w:id="33" w:name="_Toc25608_WPSOffice_Level2"/>
      <w:bookmarkStart w:id="34" w:name="_Toc30334_WPSOffice_Level2"/>
      <w:bookmarkStart w:id="35" w:name="_Toc14349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7626_WPSOffice_Level2"/>
      <w:bookmarkStart w:id="39" w:name="_Toc13854_WPSOffice_Level2"/>
      <w:bookmarkStart w:id="40" w:name="_Toc17858_WPSOffice_Level2"/>
      <w:bookmarkStart w:id="41" w:name="_Toc5489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21415_WPSOffice_Level2"/>
      <w:bookmarkStart w:id="45" w:name="_Toc4265_WPSOffice_Level2"/>
      <w:bookmarkStart w:id="46" w:name="_Toc23591_WPSOffice_Level2"/>
      <w:bookmarkStart w:id="47" w:name="_Toc13701_WPSOffice_Level2"/>
      <w:bookmarkStart w:id="48"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7879_WPSOffice_Level2"/>
      <w:bookmarkStart w:id="51" w:name="_Toc25166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833_WPSOffice_Level2"/>
      <w:bookmarkStart w:id="56" w:name="_Toc17283_WPSOffice_Level2"/>
      <w:bookmarkStart w:id="57" w:name="_Toc2632_WPSOffice_Level2"/>
      <w:bookmarkStart w:id="58" w:name="_Toc8373_WPSOffice_Level2"/>
      <w:bookmarkStart w:id="59" w:name="_Toc25362_WPSOffice_Level2"/>
      <w:bookmarkStart w:id="60"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6020_WPSOffice_Level2"/>
      <w:bookmarkStart w:id="62" w:name="_Toc13345_WPSOffice_Level2"/>
      <w:bookmarkStart w:id="63" w:name="_Toc1533_WPSOffice_Level2"/>
      <w:bookmarkStart w:id="64" w:name="_Toc11799_WPSOffice_Level2"/>
      <w:bookmarkStart w:id="65" w:name="_Toc5594_WPSOffice_Level2"/>
      <w:bookmarkStart w:id="66" w:name="_Toc2131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29886_WPSOffice_Level2"/>
      <w:bookmarkStart w:id="68" w:name="_Toc9377_WPSOffice_Level2"/>
      <w:bookmarkStart w:id="69" w:name="_Toc1820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8629_WPSOffice_Level1"/>
      <w:bookmarkStart w:id="72" w:name="_Toc27590_WPSOffice_Level1"/>
      <w:bookmarkStart w:id="73" w:name="_Toc4402_WPSOffice_Level1"/>
      <w:bookmarkStart w:id="74" w:name="_Toc29683_WPSOffice_Level1"/>
      <w:bookmarkStart w:id="75" w:name="_Toc31264_WPSOffice_Level1"/>
      <w:bookmarkStart w:id="76" w:name="_Toc16686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eastAsia" w:ascii="仿宋_GB2312" w:hAnsi="ˎ̥" w:eastAsia="仿宋_GB2312"/>
          <w:sz w:val="32"/>
          <w:szCs w:val="32"/>
          <w:lang w:val="en-US" w:eastAsia="zh-CN"/>
        </w:rPr>
        <w:t>715.23</w:t>
      </w:r>
      <w:r>
        <w:rPr>
          <w:rFonts w:hint="eastAsia" w:ascii="仿宋_GB2312" w:hAnsi="ˎ̥" w:eastAsia="仿宋_GB2312"/>
          <w:sz w:val="32"/>
          <w:szCs w:val="32"/>
        </w:rPr>
        <w:t>万元，支出总计</w:t>
      </w:r>
      <w:r>
        <w:rPr>
          <w:rFonts w:hint="eastAsia" w:ascii="仿宋_GB2312" w:hAnsi="ˎ̥" w:eastAsia="仿宋_GB2312"/>
          <w:sz w:val="32"/>
          <w:szCs w:val="32"/>
          <w:lang w:val="en-US" w:eastAsia="zh-CN"/>
        </w:rPr>
        <w:t>715.23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 xml:space="preserve"> 140.73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19.67</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一是较去年增加项目数；导致资金增加，二是增加一名西部志愿者</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w:t>
      </w:r>
      <w:r>
        <w:rPr>
          <w:rFonts w:hint="eastAsia" w:ascii="仿宋_GB2312" w:hAnsi="ˎ̥" w:eastAsia="仿宋_GB2312"/>
          <w:sz w:val="32"/>
          <w:szCs w:val="32"/>
        </w:rPr>
        <w:t>入</w:t>
      </w:r>
      <w:r>
        <w:rPr>
          <w:rFonts w:hint="eastAsia" w:ascii="仿宋_GB2312" w:hAnsi="ˎ̥" w:eastAsia="仿宋_GB2312"/>
          <w:sz w:val="32"/>
          <w:szCs w:val="32"/>
          <w:lang w:val="en-US" w:eastAsia="zh-CN"/>
        </w:rPr>
        <w:t>715.23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715.23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eastAsia="zh-CN"/>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ˎ̥" w:eastAsia="仿宋_GB2312"/>
          <w:sz w:val="32"/>
          <w:szCs w:val="32"/>
          <w:lang w:val="en-US" w:eastAsia="zh-CN"/>
        </w:rPr>
        <w:t>715.23</w:t>
      </w:r>
      <w:r>
        <w:rPr>
          <w:rFonts w:hint="eastAsia" w:ascii="仿宋_GB2312" w:hAnsi="ˎ̥" w:eastAsia="仿宋_GB2312"/>
          <w:sz w:val="32"/>
          <w:szCs w:val="32"/>
        </w:rPr>
        <w:t>万元，其中：财政拨款收入</w:t>
      </w:r>
      <w:r>
        <w:rPr>
          <w:rFonts w:hint="eastAsia" w:ascii="仿宋_GB2312" w:hAnsi="ˎ̥" w:eastAsia="仿宋_GB2312"/>
          <w:sz w:val="32"/>
          <w:szCs w:val="32"/>
          <w:lang w:val="en-US" w:eastAsia="zh-CN"/>
        </w:rPr>
        <w:t>715.23</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715.23</w:t>
      </w:r>
      <w:r>
        <w:rPr>
          <w:rFonts w:hint="eastAsia" w:ascii="仿宋_GB2312" w:hAnsi="ˎ̥" w:eastAsia="仿宋_GB2312"/>
          <w:sz w:val="32"/>
          <w:szCs w:val="32"/>
        </w:rPr>
        <w:t>万元，其中：基本支出</w:t>
      </w:r>
      <w:r>
        <w:rPr>
          <w:rFonts w:hint="eastAsia" w:ascii="仿宋_GB2312" w:hAnsi="ˎ̥" w:eastAsia="仿宋_GB2312"/>
          <w:sz w:val="32"/>
          <w:szCs w:val="32"/>
          <w:lang w:val="en-US" w:eastAsia="zh-CN"/>
        </w:rPr>
        <w:t>640.32</w:t>
      </w:r>
      <w:r>
        <w:rPr>
          <w:rFonts w:hint="eastAsia" w:ascii="仿宋_GB2312" w:hAnsi="ˎ̥" w:eastAsia="仿宋_GB2312"/>
          <w:sz w:val="32"/>
          <w:szCs w:val="32"/>
        </w:rPr>
        <w:t>万元，占</w:t>
      </w:r>
      <w:r>
        <w:rPr>
          <w:rFonts w:hint="eastAsia" w:ascii="仿宋_GB2312" w:hAnsi="ˎ̥" w:eastAsia="仿宋_GB2312"/>
          <w:sz w:val="32"/>
          <w:szCs w:val="32"/>
          <w:lang w:val="en-US" w:eastAsia="zh-CN"/>
        </w:rPr>
        <w:t>89.52</w:t>
      </w:r>
      <w:r>
        <w:rPr>
          <w:rFonts w:hint="eastAsia" w:ascii="仿宋_GB2312" w:hAnsi="ˎ̥" w:eastAsia="仿宋_GB2312"/>
          <w:sz w:val="32"/>
          <w:szCs w:val="32"/>
        </w:rPr>
        <w:t>%；项目支出</w:t>
      </w:r>
      <w:r>
        <w:rPr>
          <w:rFonts w:hint="eastAsia" w:ascii="仿宋_GB2312" w:hAnsi="ˎ̥" w:eastAsia="仿宋_GB2312"/>
          <w:sz w:val="32"/>
          <w:szCs w:val="32"/>
          <w:lang w:val="en-US" w:eastAsia="zh-CN"/>
        </w:rPr>
        <w:t>74.91</w:t>
      </w:r>
      <w:r>
        <w:rPr>
          <w:rFonts w:hint="eastAsia" w:ascii="仿宋_GB2312" w:hAnsi="ˎ̥" w:eastAsia="仿宋_GB2312"/>
          <w:sz w:val="32"/>
          <w:szCs w:val="32"/>
        </w:rPr>
        <w:t>万元，占</w:t>
      </w:r>
      <w:r>
        <w:rPr>
          <w:rFonts w:hint="eastAsia" w:ascii="仿宋_GB2312" w:hAnsi="ˎ̥" w:eastAsia="仿宋_GB2312"/>
          <w:sz w:val="32"/>
          <w:szCs w:val="32"/>
          <w:lang w:val="en-US" w:eastAsia="zh-CN"/>
        </w:rPr>
        <w:t>10.47</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eastAsia" w:ascii="仿宋_GB2312" w:hAnsi="ˎ̥" w:eastAsia="仿宋_GB2312"/>
          <w:sz w:val="32"/>
          <w:szCs w:val="32"/>
          <w:lang w:val="en-US" w:eastAsia="zh-CN"/>
        </w:rPr>
        <w:t>715.23</w:t>
      </w:r>
      <w:r>
        <w:rPr>
          <w:rFonts w:hint="eastAsia" w:ascii="仿宋_GB2312" w:hAnsi="ˎ̥" w:eastAsia="仿宋_GB2312"/>
          <w:sz w:val="32"/>
          <w:szCs w:val="32"/>
        </w:rPr>
        <w:t>万元，支出</w:t>
      </w:r>
      <w:r>
        <w:rPr>
          <w:rFonts w:hint="eastAsia" w:ascii="仿宋_GB2312" w:hAnsi="ˎ̥" w:eastAsia="仿宋_GB2312"/>
          <w:sz w:val="32"/>
          <w:szCs w:val="32"/>
          <w:lang w:val="en-US" w:eastAsia="zh-CN"/>
        </w:rPr>
        <w:t>715.23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126.03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17.62</w:t>
      </w:r>
      <w:r>
        <w:rPr>
          <w:rFonts w:hint="eastAsia" w:ascii="仿宋_GB2312" w:hAnsi="ˎ̥" w:eastAsia="仿宋_GB2312"/>
          <w:sz w:val="32"/>
          <w:szCs w:val="32"/>
        </w:rPr>
        <w:t>%，主要原因：</w:t>
      </w:r>
      <w:r>
        <w:rPr>
          <w:rFonts w:hint="eastAsia" w:ascii="仿宋_GB2312" w:hAnsi="ˎ̥" w:eastAsia="仿宋_GB2312"/>
          <w:color w:val="000000" w:themeColor="text1"/>
          <w:sz w:val="32"/>
          <w:szCs w:val="32"/>
          <w14:textFill>
            <w14:solidFill>
              <w14:schemeClr w14:val="tx1"/>
            </w14:solidFill>
          </w14:textFill>
        </w:rPr>
        <w:t>一是</w:t>
      </w:r>
      <w:r>
        <w:rPr>
          <w:rFonts w:hint="eastAsia" w:ascii="仿宋_GB2312" w:hAnsi="ˎ̥" w:eastAsia="仿宋_GB2312"/>
          <w:color w:val="000000" w:themeColor="text1"/>
          <w:sz w:val="32"/>
          <w:szCs w:val="32"/>
          <w:lang w:val="en-US" w:eastAsia="zh-CN"/>
          <w14:textFill>
            <w14:solidFill>
              <w14:schemeClr w14:val="tx1"/>
            </w14:solidFill>
          </w14:textFill>
        </w:rPr>
        <w:t>较2023年相比增加了项目</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增加人员</w:t>
      </w:r>
      <w:r>
        <w:rPr>
          <w:rFonts w:hint="eastAsia" w:ascii="仿宋_GB2312" w:hAnsi="ˎ̥" w:eastAsia="仿宋_GB2312"/>
          <w:color w:val="000000" w:themeColor="text1"/>
          <w:sz w:val="32"/>
          <w:szCs w:val="32"/>
          <w14:textFill>
            <w14:solidFill>
              <w14:schemeClr w14:val="tx1"/>
            </w14:solidFill>
          </w14:textFill>
        </w:rPr>
        <w:t>。支出增加</w:t>
      </w:r>
      <w:r>
        <w:rPr>
          <w:rFonts w:hint="eastAsia" w:ascii="仿宋_GB2312" w:hAnsi="ˎ̥" w:eastAsia="仿宋_GB2312"/>
          <w:color w:val="000000" w:themeColor="text1"/>
          <w:sz w:val="32"/>
          <w:szCs w:val="32"/>
          <w:lang w:val="en-US" w:eastAsia="zh-CN"/>
          <w14:textFill>
            <w14:solidFill>
              <w14:schemeClr w14:val="tx1"/>
            </w14:solidFill>
          </w14:textFill>
        </w:rPr>
        <w:t>8.87</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 xml:space="preserve"> 98 </w:t>
      </w:r>
      <w:r>
        <w:rPr>
          <w:rFonts w:hint="eastAsia" w:ascii="仿宋_GB2312" w:hAnsi="ˎ̥" w:eastAsia="仿宋_GB2312"/>
          <w:color w:val="000000" w:themeColor="text1"/>
          <w:sz w:val="32"/>
          <w:szCs w:val="32"/>
          <w14:textFill>
            <w14:solidFill>
              <w14:schemeClr w14:val="tx1"/>
            </w14:solidFill>
          </w14:textFill>
        </w:rPr>
        <w:t>%，主要原因：一是较去年增加项目数，导致资金增加</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二是增加</w:t>
      </w:r>
      <w:r>
        <w:rPr>
          <w:rFonts w:hint="eastAsia" w:ascii="仿宋_GB2312" w:hAnsi="ˎ̥" w:eastAsia="仿宋_GB2312"/>
          <w:color w:val="000000" w:themeColor="text1"/>
          <w:sz w:val="32"/>
          <w:szCs w:val="32"/>
          <w:lang w:eastAsia="zh-CN"/>
          <w14:textFill>
            <w14:solidFill>
              <w14:schemeClr w14:val="tx1"/>
            </w14:solidFill>
          </w14:textFill>
        </w:rPr>
        <w:t>工资福利</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9989_WPSOffice_Level2"/>
      <w:bookmarkStart w:id="79" w:name="_Toc23005_WPSOffice_Level2"/>
      <w:bookmarkStart w:id="80" w:name="_Toc19665_WPSOffice_Level2"/>
      <w:bookmarkStart w:id="81" w:name="_Toc21737_WPSOffice_Level2"/>
      <w:bookmarkStart w:id="82" w:name="_Toc17398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715.23</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增加8.87</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 xml:space="preserve">98 </w:t>
      </w:r>
      <w:r>
        <w:rPr>
          <w:rFonts w:hint="eastAsia" w:ascii="仿宋_GB2312" w:hAnsi="ˎ̥" w:eastAsia="仿宋_GB2312"/>
          <w:color w:val="000000" w:themeColor="text1"/>
          <w:sz w:val="32"/>
          <w:szCs w:val="32"/>
          <w14:textFill>
            <w14:solidFill>
              <w14:schemeClr w14:val="tx1"/>
            </w14:solidFill>
          </w14:textFill>
        </w:rPr>
        <w:t>%，主要原因：一是较去年增加项目数，导致资金增加；二是</w:t>
      </w:r>
      <w:r>
        <w:rPr>
          <w:rFonts w:hint="eastAsia" w:ascii="仿宋_GB2312" w:hAnsi="ˎ̥" w:eastAsia="仿宋_GB2312"/>
          <w:color w:val="000000" w:themeColor="text1"/>
          <w:sz w:val="32"/>
          <w:szCs w:val="32"/>
          <w:lang w:eastAsia="zh-CN"/>
          <w14:textFill>
            <w14:solidFill>
              <w14:schemeClr w14:val="tx1"/>
            </w14:solidFill>
          </w14:textFill>
        </w:rPr>
        <w:t>人员</w:t>
      </w:r>
      <w:r>
        <w:rPr>
          <w:rFonts w:hint="eastAsia" w:ascii="仿宋_GB2312" w:hAnsi="ˎ̥" w:eastAsia="仿宋_GB2312"/>
          <w:color w:val="000000" w:themeColor="text1"/>
          <w:sz w:val="32"/>
          <w:szCs w:val="32"/>
          <w14:textFill>
            <w14:solidFill>
              <w14:schemeClr w14:val="tx1"/>
            </w14:solidFill>
          </w14:textFill>
        </w:rPr>
        <w:t>增加</w:t>
      </w:r>
      <w:r>
        <w:rPr>
          <w:rFonts w:hint="eastAsia" w:ascii="仿宋_GB2312" w:hAnsi="ˎ̥" w:eastAsia="仿宋_GB2312"/>
          <w:color w:val="000000" w:themeColor="text1"/>
          <w:sz w:val="32"/>
          <w:szCs w:val="32"/>
          <w:lang w:eastAsia="zh-CN"/>
          <w14:textFill>
            <w14:solidFill>
              <w14:schemeClr w14:val="tx1"/>
            </w14:solidFill>
          </w14:textFill>
        </w:rPr>
        <w:t>，导致资金增加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3864_WPSOffice_Level2"/>
      <w:bookmarkStart w:id="84" w:name="_Toc19535_WPSOffice_Level2"/>
      <w:bookmarkStart w:id="85" w:name="_Toc2711_WPSOffice_Level2"/>
      <w:bookmarkStart w:id="86" w:name="_Toc19075_WPSOffice_Level2"/>
      <w:bookmarkStart w:id="87" w:name="_Toc27767_WPSOffice_Level2"/>
      <w:bookmarkStart w:id="88" w:name="_Toc18793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w:t>
      </w:r>
      <w:r>
        <w:rPr>
          <w:rFonts w:hint="eastAsia" w:ascii="仿宋_GB2312" w:hAnsi="ˎ̥" w:eastAsia="仿宋_GB2312"/>
          <w:sz w:val="32"/>
          <w:szCs w:val="32"/>
          <w:lang w:val="en-US"/>
        </w:rPr>
        <w:t>出</w:t>
      </w:r>
      <w:r>
        <w:rPr>
          <w:rFonts w:hint="eastAsia" w:ascii="仿宋_GB2312" w:hAnsi="ˎ̥" w:eastAsia="仿宋_GB2312"/>
          <w:sz w:val="32"/>
          <w:szCs w:val="32"/>
          <w:lang w:val="en-US" w:eastAsia="zh-CN"/>
        </w:rPr>
        <w:t>715.23</w:t>
      </w:r>
      <w:r>
        <w:rPr>
          <w:rFonts w:hint="eastAsia" w:ascii="仿宋_GB2312" w:hAnsi="ˎ̥" w:eastAsia="仿宋_GB2312"/>
          <w:sz w:val="32"/>
          <w:szCs w:val="32"/>
        </w:rPr>
        <w:t>万元，主要用于以下方面：</w:t>
      </w:r>
      <w:r>
        <w:rPr>
          <w:rFonts w:hint="eastAsia" w:ascii="仿宋_GB2312" w:hAnsi="ˎ̥" w:eastAsia="仿宋_GB2312"/>
          <w:sz w:val="32"/>
          <w:szCs w:val="32"/>
          <w:lang w:eastAsia="zh-CN"/>
        </w:rPr>
        <w:t>一般</w:t>
      </w:r>
      <w:r>
        <w:rPr>
          <w:rFonts w:hint="eastAsia" w:ascii="仿宋_GB2312" w:hAnsi="ˎ̥" w:eastAsia="仿宋_GB2312"/>
          <w:sz w:val="32"/>
          <w:szCs w:val="32"/>
          <w:lang w:val="en-US" w:eastAsia="zh-CN"/>
        </w:rPr>
        <w:t>公共服务支出564.51元，</w:t>
      </w:r>
      <w:r>
        <w:rPr>
          <w:rFonts w:hint="eastAsia" w:ascii="仿宋_GB2312" w:hAnsi="ˎ̥" w:eastAsia="仿宋_GB2312"/>
          <w:sz w:val="32"/>
          <w:szCs w:val="32"/>
          <w:lang w:val="en-US"/>
        </w:rPr>
        <w:t>占</w:t>
      </w:r>
      <w:r>
        <w:rPr>
          <w:rFonts w:hint="eastAsia" w:ascii="仿宋_GB2312" w:hAnsi="ˎ̥" w:eastAsia="仿宋_GB2312"/>
          <w:sz w:val="32"/>
          <w:szCs w:val="32"/>
          <w:lang w:val="en-US" w:eastAsia="zh-CN"/>
        </w:rPr>
        <w:t>15.78</w:t>
      </w:r>
      <w:r>
        <w:rPr>
          <w:rFonts w:hint="eastAsia" w:ascii="仿宋_GB2312" w:hAnsi="ˎ̥" w:eastAsia="仿宋_GB2312"/>
          <w:sz w:val="32"/>
          <w:szCs w:val="32"/>
          <w:lang w:val="en-US"/>
        </w:rPr>
        <w:t>%</w:t>
      </w:r>
      <w:r>
        <w:rPr>
          <w:rFonts w:hint="eastAsia" w:ascii="仿宋_GB2312" w:hAnsi="ˎ̥" w:eastAsia="仿宋_GB2312"/>
          <w:sz w:val="32"/>
          <w:szCs w:val="32"/>
          <w:lang w:val="en-US" w:eastAsia="zh-CN"/>
        </w:rPr>
        <w:t xml:space="preserve"> ；</w:t>
      </w:r>
      <w:r>
        <w:rPr>
          <w:rFonts w:hint="eastAsia" w:ascii="仿宋_GB2312" w:hAnsi="ˎ̥" w:eastAsia="仿宋_GB2312"/>
          <w:b/>
          <w:sz w:val="32"/>
          <w:szCs w:val="32"/>
        </w:rPr>
        <w:t>卫生健康支出（类）</w:t>
      </w:r>
      <w:r>
        <w:rPr>
          <w:rFonts w:hint="eastAsia" w:ascii="仿宋_GB2312" w:hAnsi="ˎ̥" w:eastAsia="仿宋_GB2312"/>
          <w:sz w:val="32"/>
          <w:szCs w:val="32"/>
        </w:rPr>
        <w:t>支出</w:t>
      </w:r>
      <w:r>
        <w:rPr>
          <w:rFonts w:hint="eastAsia" w:ascii="仿宋_GB2312" w:hAnsi="ˎ̥" w:eastAsia="仿宋_GB2312"/>
          <w:sz w:val="32"/>
          <w:szCs w:val="32"/>
          <w:lang w:val="en-US" w:eastAsia="zh-CN"/>
        </w:rPr>
        <w:t>37.4</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5.22</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61.694万元，占8.62</w:t>
      </w:r>
      <w:r>
        <w:rPr>
          <w:rFonts w:hint="eastAsia" w:ascii="仿宋_GB2312" w:hAnsi="ˎ̥" w:eastAsia="仿宋_GB2312"/>
          <w:sz w:val="32"/>
          <w:szCs w:val="32"/>
        </w:rPr>
        <w:t>%；</w:t>
      </w:r>
      <w:r>
        <w:rPr>
          <w:rFonts w:hint="eastAsia" w:ascii="仿宋_GB2312" w:hAnsi="ˎ̥" w:eastAsia="仿宋_GB2312"/>
          <w:b/>
          <w:bCs/>
          <w:sz w:val="32"/>
          <w:szCs w:val="32"/>
        </w:rPr>
        <w:t>住房保障</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仿宋_GB2312" w:hAnsi="ˎ̥" w:eastAsia="仿宋_GB2312"/>
          <w:b/>
          <w:bCs/>
          <w:sz w:val="32"/>
          <w:szCs w:val="32"/>
          <w:lang w:eastAsia="zh-CN"/>
        </w:rPr>
        <w:t>）</w:t>
      </w:r>
      <w:r>
        <w:rPr>
          <w:rFonts w:hint="eastAsia" w:ascii="仿宋_GB2312" w:hAnsi="ˎ̥" w:eastAsia="仿宋_GB2312"/>
          <w:sz w:val="32"/>
          <w:szCs w:val="32"/>
        </w:rPr>
        <w:t>支出</w:t>
      </w:r>
      <w:r>
        <w:rPr>
          <w:rFonts w:hint="eastAsia" w:ascii="仿宋_GB2312" w:hAnsi="ˎ̥" w:eastAsia="仿宋_GB2312"/>
          <w:sz w:val="32"/>
          <w:szCs w:val="32"/>
          <w:lang w:val="en-US" w:eastAsia="zh-CN"/>
        </w:rPr>
        <w:t>51.62万元，占7.21%</w:t>
      </w:r>
      <w:bookmarkStart w:id="89" w:name="_Toc29364_WPSOffice_Level2"/>
      <w:bookmarkStart w:id="90" w:name="_Toc21701_WPSOffice_Level2"/>
      <w:bookmarkStart w:id="91" w:name="_Toc9502_WPSOffice_Level2"/>
      <w:bookmarkStart w:id="92" w:name="_Toc22318_WPSOffice_Level2"/>
      <w:bookmarkStart w:id="93" w:name="_Toc15415_WPSOffice_Level2"/>
      <w:bookmarkStart w:id="94" w:name="_Toc25136_WPSOffice_Level2"/>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715.23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715.23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bCs/>
          <w:sz w:val="32"/>
          <w:szCs w:val="32"/>
          <w:lang w:val="en-US" w:eastAsia="zh-CN"/>
        </w:rPr>
      </w:pPr>
      <w:r>
        <w:rPr>
          <w:rFonts w:hint="eastAsia" w:ascii="仿宋_GB2312" w:hAnsi="ˎ̥" w:eastAsia="仿宋_GB2312"/>
          <w:b/>
          <w:bCs/>
          <w:sz w:val="32"/>
          <w:szCs w:val="32"/>
          <w:lang w:val="en-US" w:eastAsia="zh-CN"/>
        </w:rPr>
        <w:t>1.</w:t>
      </w:r>
      <w:r>
        <w:rPr>
          <w:rFonts w:hint="eastAsia" w:ascii="仿宋_GB2312" w:hAnsi="ˎ̥" w:eastAsia="仿宋_GB2312"/>
          <w:b/>
          <w:bCs/>
          <w:sz w:val="32"/>
          <w:szCs w:val="32"/>
          <w:lang w:eastAsia="zh-CN"/>
        </w:rPr>
        <w:t>一般</w:t>
      </w:r>
      <w:r>
        <w:rPr>
          <w:rFonts w:hint="eastAsia" w:ascii="仿宋_GB2312" w:hAnsi="ˎ̥" w:eastAsia="仿宋_GB2312"/>
          <w:b/>
          <w:bCs/>
          <w:sz w:val="32"/>
          <w:szCs w:val="32"/>
          <w:lang w:val="en-US" w:eastAsia="zh-CN"/>
        </w:rPr>
        <w:t>公共服务支出（项）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年初预算为564.51万元，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564.51</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w:t>
      </w:r>
      <w:r>
        <w:rPr>
          <w:rFonts w:hint="eastAsia" w:ascii="仿宋_GB2312" w:hAnsi="ˎ̥" w:eastAsia="仿宋_GB2312"/>
          <w:b/>
          <w:sz w:val="32"/>
          <w:szCs w:val="32"/>
        </w:rPr>
        <w:t>社会保障和就业支出（类）行政事业单位养老支出（款）机关事业单位基本养老保险缴费支出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61.69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61.69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3</w:t>
      </w:r>
      <w:r>
        <w:rPr>
          <w:rFonts w:hint="eastAsia" w:ascii="仿宋_GB2312" w:hAnsi="ˎ̥" w:eastAsia="仿宋_GB2312"/>
          <w:sz w:val="32"/>
          <w:szCs w:val="32"/>
        </w:rPr>
        <w:t>.</w:t>
      </w:r>
      <w:r>
        <w:rPr>
          <w:rFonts w:hint="eastAsia" w:ascii="仿宋_GB2312" w:hAnsi="ˎ̥" w:eastAsia="仿宋_GB2312"/>
          <w:b/>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37.4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37.4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4.</w:t>
      </w:r>
      <w:r>
        <w:rPr>
          <w:rFonts w:hint="eastAsia" w:ascii="仿宋_GB2312" w:hAnsi="ˎ̥" w:eastAsia="仿宋_GB2312"/>
          <w:b/>
          <w:sz w:val="32"/>
          <w:szCs w:val="32"/>
        </w:rPr>
        <w:t>住房保障支出 （类）住房改革支出（款）住房公积金（项）。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51.62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51.62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640.32</w:t>
      </w:r>
      <w:r>
        <w:rPr>
          <w:rFonts w:hint="eastAsia" w:ascii="仿宋_GB2312" w:hAnsi="ˎ̥" w:eastAsia="仿宋_GB2312"/>
          <w:sz w:val="32"/>
          <w:szCs w:val="32"/>
        </w:rPr>
        <w:t>万元，其中：人员经费</w:t>
      </w:r>
      <w:r>
        <w:rPr>
          <w:rFonts w:hint="eastAsia" w:ascii="仿宋_GB2312" w:hAnsi="ˎ̥" w:eastAsia="仿宋_GB2312"/>
          <w:sz w:val="32"/>
          <w:szCs w:val="32"/>
          <w:lang w:val="en-US" w:eastAsia="zh-CN"/>
        </w:rPr>
        <w:t>603.98</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eastAsia="zh-CN"/>
        </w:rPr>
        <w:t>36.34</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w:t>
      </w:r>
      <w:r>
        <w:rPr>
          <w:rFonts w:hint="eastAsia" w:ascii="仿宋_GB2312" w:hAnsi="ˎ̥" w:eastAsia="仿宋_GB2312"/>
          <w:sz w:val="32"/>
          <w:szCs w:val="32"/>
          <w:lang w:val="en-US"/>
        </w:rPr>
        <w:t>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w:t>
      </w:r>
      <w:r>
        <w:rPr>
          <w:rFonts w:hint="eastAsia" w:ascii="仿宋_GB2312" w:hAnsi="ˎ̥" w:eastAsia="仿宋_GB2312"/>
          <w:sz w:val="32"/>
          <w:szCs w:val="32"/>
          <w:lang w:val="en-US"/>
        </w:rPr>
        <w:t>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w:t>
      </w:r>
      <w:r>
        <w:rPr>
          <w:rFonts w:hint="eastAsia" w:ascii="仿宋_GB2312" w:hAnsi="ˎ̥" w:eastAsia="仿宋_GB2312"/>
          <w:sz w:val="32"/>
          <w:szCs w:val="32"/>
          <w:lang w:val="en-US"/>
        </w:rPr>
        <w:t>预算为</w:t>
      </w:r>
      <w:r>
        <w:rPr>
          <w:rFonts w:hint="eastAsia" w:ascii="仿宋_GB2312" w:hAnsi="ˎ̥" w:eastAsia="仿宋_GB2312"/>
          <w:sz w:val="32"/>
          <w:szCs w:val="32"/>
          <w:lang w:val="en-US" w:eastAsia="zh-CN"/>
        </w:rPr>
        <w:t>12.26</w:t>
      </w:r>
      <w:r>
        <w:rPr>
          <w:rFonts w:hint="eastAsia" w:ascii="仿宋_GB2312" w:hAnsi="ˎ̥" w:eastAsia="仿宋_GB2312"/>
          <w:sz w:val="32"/>
          <w:szCs w:val="32"/>
          <w:lang w:val="en-US"/>
        </w:rPr>
        <w:t>万元，支出决算为</w:t>
      </w:r>
      <w:r>
        <w:rPr>
          <w:rFonts w:hint="eastAsia" w:ascii="仿宋_GB2312" w:hAnsi="ˎ̥" w:eastAsia="仿宋_GB2312"/>
          <w:sz w:val="32"/>
          <w:szCs w:val="32"/>
          <w:lang w:val="en-US" w:eastAsia="zh-CN"/>
        </w:rPr>
        <w:t>12.26</w:t>
      </w:r>
      <w:r>
        <w:rPr>
          <w:rFonts w:hint="eastAsia" w:ascii="仿宋_GB2312" w:hAnsi="ˎ̥" w:eastAsia="仿宋_GB2312"/>
          <w:sz w:val="32"/>
          <w:szCs w:val="32"/>
          <w:lang w:val="en-US"/>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w:t>
      </w:r>
      <w:r>
        <w:rPr>
          <w:rFonts w:hint="eastAsia" w:ascii="仿宋_GB2312" w:hAnsi="ˎ̥" w:eastAsia="仿宋_GB2312"/>
          <w:color w:val="000000" w:themeColor="text1"/>
          <w:sz w:val="32"/>
          <w:szCs w:val="32"/>
          <w:lang w:val="en-US"/>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年度相比，“三公”经费支出增加</w:t>
      </w:r>
      <w:r>
        <w:rPr>
          <w:rFonts w:hint="eastAsia" w:ascii="仿宋_GB2312" w:hAnsi="ˎ̥" w:eastAsia="仿宋_GB2312"/>
          <w:color w:val="000000" w:themeColor="text1"/>
          <w:sz w:val="32"/>
          <w:szCs w:val="32"/>
          <w:lang w:val="en-US" w:eastAsia="zh-CN"/>
          <w14:textFill>
            <w14:solidFill>
              <w14:schemeClr w14:val="tx1"/>
            </w14:solidFill>
          </w14:textFill>
        </w:rPr>
        <w:t xml:space="preserve">6.99 </w:t>
      </w:r>
      <w:r>
        <w:rPr>
          <w:rFonts w:hint="eastAsia" w:ascii="仿宋_GB2312" w:hAnsi="ˎ̥" w:eastAsia="仿宋_GB2312"/>
          <w:color w:val="000000" w:themeColor="text1"/>
          <w:sz w:val="32"/>
          <w:szCs w:val="32"/>
          <w:lang w:val="en-US"/>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增加57</w:t>
      </w:r>
      <w:r>
        <w:rPr>
          <w:rFonts w:hint="eastAsia"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sz w:val="32"/>
          <w:szCs w:val="32"/>
          <w:lang w:val="en-US"/>
        </w:rPr>
        <w:t>主要原因是公务用车运行费</w:t>
      </w:r>
      <w:r>
        <w:rPr>
          <w:rFonts w:hint="eastAsia" w:ascii="仿宋_GB2312" w:hAnsi="ˎ̥" w:eastAsia="仿宋_GB2312"/>
          <w:sz w:val="32"/>
          <w:szCs w:val="32"/>
          <w:lang w:val="en-US" w:eastAsia="zh-CN"/>
        </w:rPr>
        <w:t>增多</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公务用车购置及运行维护费</w:t>
      </w:r>
      <w:r>
        <w:rPr>
          <w:rFonts w:hint="eastAsia" w:ascii="仿宋_GB2312" w:hAnsi="ˎ̥" w:eastAsia="仿宋_GB2312"/>
          <w:color w:val="000000" w:themeColor="text1"/>
          <w:sz w:val="32"/>
          <w:szCs w:val="32"/>
          <w14:textFill>
            <w14:solidFill>
              <w14:schemeClr w14:val="tx1"/>
            </w14:solidFill>
          </w14:textFill>
        </w:rPr>
        <w:t>支出决算</w:t>
      </w:r>
      <w:r>
        <w:rPr>
          <w:rFonts w:hint="eastAsia" w:ascii="仿宋_GB2312" w:hAnsi="ˎ̥" w:eastAsia="仿宋_GB2312"/>
          <w:color w:val="000000" w:themeColor="text1"/>
          <w:sz w:val="32"/>
          <w:szCs w:val="32"/>
          <w:lang w:val="en-US" w:eastAsia="zh-CN"/>
          <w14:textFill>
            <w14:solidFill>
              <w14:schemeClr w14:val="tx1"/>
            </w14:solidFill>
          </w14:textFill>
        </w:rPr>
        <w:t>5.2</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sz w:val="32"/>
          <w:szCs w:val="32"/>
        </w:rPr>
        <w:t>占</w:t>
      </w:r>
      <w:r>
        <w:rPr>
          <w:rFonts w:hint="eastAsia" w:ascii="仿宋_GB2312" w:hAnsi="ˎ̥" w:eastAsia="仿宋_GB2312"/>
          <w:sz w:val="32"/>
          <w:szCs w:val="32"/>
          <w:lang w:val="en-US" w:eastAsia="zh-CN"/>
        </w:rPr>
        <w:t>42.41</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1.公务用车购置及运行维护费</w:t>
      </w:r>
      <w:r>
        <w:rPr>
          <w:rFonts w:hint="eastAsia" w:ascii="仿宋_GB2312" w:hAnsi="ˎ̥" w:eastAsia="仿宋_GB2312"/>
          <w:b/>
          <w:bCs w:val="0"/>
          <w:sz w:val="32"/>
          <w:szCs w:val="32"/>
        </w:rPr>
        <w:t>支出</w:t>
      </w:r>
      <w:r>
        <w:rPr>
          <w:rFonts w:hint="eastAsia" w:ascii="仿宋_GB2312" w:hAnsi="ˎ̥" w:eastAsia="仿宋_GB2312"/>
          <w:b/>
          <w:bCs w:val="0"/>
          <w:sz w:val="32"/>
          <w:szCs w:val="32"/>
          <w:lang w:val="en-US" w:eastAsia="zh-CN"/>
        </w:rPr>
        <w:t>5.2</w:t>
      </w:r>
      <w:r>
        <w:rPr>
          <w:rFonts w:hint="eastAsia" w:ascii="仿宋_GB2312" w:hAnsi="ˎ̥" w:eastAsia="仿宋_GB2312"/>
          <w:b/>
          <w:bCs w:val="0"/>
          <w:sz w:val="32"/>
          <w:szCs w:val="32"/>
        </w:rPr>
        <w:t>万元。</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 w:val="0"/>
          <w:bCs/>
          <w:sz w:val="32"/>
          <w:szCs w:val="32"/>
        </w:rPr>
        <w:t>公务用车购置支出</w:t>
      </w:r>
      <w:r>
        <w:rPr>
          <w:rFonts w:hint="default" w:ascii="仿宋_GB2312" w:hAnsi="ˎ̥" w:eastAsia="仿宋_GB2312"/>
          <w:sz w:val="32"/>
          <w:szCs w:val="32"/>
          <w:lang w:val="en-US" w:eastAsia="zh-CN"/>
        </w:rPr>
        <w:t>0.00</w:t>
      </w:r>
      <w:r>
        <w:rPr>
          <w:rFonts w:hint="eastAsia" w:ascii="仿宋_GB2312" w:hAnsi="ˎ̥" w:eastAsia="仿宋_GB2312"/>
          <w:sz w:val="32"/>
          <w:szCs w:val="32"/>
          <w:lang w:val="en-US" w:eastAsia="zh-CN"/>
        </w:rPr>
        <w:t>万元，全年购置公务用车0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0辆。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5.2万</w:t>
      </w:r>
      <w:r>
        <w:rPr>
          <w:rFonts w:hint="eastAsia" w:ascii="仿宋_GB2312" w:hAnsi="ˎ̥" w:eastAsia="仿宋_GB2312"/>
          <w:sz w:val="32"/>
          <w:szCs w:val="32"/>
        </w:rPr>
        <w:t>元，主要用于</w:t>
      </w:r>
      <w:r>
        <w:rPr>
          <w:rFonts w:hint="eastAsia" w:ascii="仿宋_GB2312" w:hAnsi="ˎ̥" w:eastAsia="仿宋_GB2312"/>
          <w:sz w:val="32"/>
          <w:szCs w:val="32"/>
          <w:lang w:val="en-US" w:eastAsia="zh-CN"/>
        </w:rPr>
        <w:t>车辆维修维护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320" w:firstLineChars="100"/>
        <w:textAlignment w:val="auto"/>
        <w:rPr>
          <w:rFonts w:hint="eastAsia" w:ascii="仿宋_GB2312" w:hAnsi="ˎ̥" w:eastAsia="仿宋_GB2312"/>
          <w:sz w:val="32"/>
          <w:szCs w:val="32"/>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lang w:eastAsia="zh-CN"/>
          <w14:textFill>
            <w14:solidFill>
              <w14:schemeClr w14:val="tx1"/>
            </w14:solidFill>
          </w14:textFill>
        </w:rPr>
        <w:t>和</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eastAsia="zh-CN"/>
          <w14:textFill>
            <w14:solidFill>
              <w14:schemeClr w14:val="tx1"/>
            </w14:solidFill>
          </w14:textFill>
        </w:rPr>
        <w:t>一样，</w:t>
      </w:r>
      <w:r>
        <w:rPr>
          <w:rFonts w:hint="eastAsia" w:ascii="仿宋_GB2312" w:hAnsi="ˎ̥" w:eastAsia="仿宋_GB2312"/>
          <w:color w:val="000000" w:themeColor="text1"/>
          <w:sz w:val="32"/>
          <w:szCs w:val="32"/>
          <w:lang w:val="en-US" w:eastAsia="zh-CN"/>
          <w14:textFill>
            <w14:solidFill>
              <w14:schemeClr w14:val="tx1"/>
            </w14:solidFill>
          </w14:textFill>
        </w:rPr>
        <w:t>完成预算的100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年度相比，公务用车购置及运行维护费支出</w:t>
      </w:r>
      <w:r>
        <w:rPr>
          <w:rFonts w:hint="eastAsia" w:ascii="仿宋_GB2312" w:hAnsi="ˎ̥" w:eastAsia="仿宋_GB2312"/>
          <w:color w:val="000000" w:themeColor="text1"/>
          <w:sz w:val="32"/>
          <w:szCs w:val="32"/>
          <w:lang w:eastAsia="zh-CN"/>
          <w14:textFill>
            <w14:solidFill>
              <w14:schemeClr w14:val="tx1"/>
            </w14:solidFill>
          </w14:textFill>
        </w:rPr>
        <w:t>减少</w:t>
      </w:r>
      <w:r>
        <w:rPr>
          <w:rFonts w:hint="eastAsia" w:ascii="仿宋_GB2312" w:hAnsi="ˎ̥" w:eastAsia="仿宋_GB2312"/>
          <w:color w:val="000000" w:themeColor="text1"/>
          <w:sz w:val="32"/>
          <w:szCs w:val="32"/>
          <w:lang w:val="en-US" w:eastAsia="zh-CN"/>
          <w14:textFill>
            <w14:solidFill>
              <w14:schemeClr w14:val="tx1"/>
            </w14:solidFill>
          </w14:textFill>
        </w:rPr>
        <w:t>0.07</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下降</w:t>
      </w:r>
      <w:r>
        <w:rPr>
          <w:rFonts w:hint="eastAsia" w:ascii="仿宋_GB2312" w:hAnsi="ˎ̥" w:eastAsia="仿宋_GB2312"/>
          <w:color w:val="000000" w:themeColor="text1"/>
          <w:sz w:val="32"/>
          <w:szCs w:val="32"/>
          <w:lang w:val="en-US" w:eastAsia="zh-CN"/>
          <w14:textFill>
            <w14:solidFill>
              <w14:schemeClr w14:val="tx1"/>
            </w14:solidFill>
          </w14:textFill>
        </w:rPr>
        <w:t>98</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，主要原因</w:t>
      </w:r>
      <w:r>
        <w:rPr>
          <w:rFonts w:hint="eastAsia" w:ascii="仿宋_GB2312" w:hAnsi="ˎ̥" w:eastAsia="仿宋_GB2312"/>
          <w:sz w:val="32"/>
          <w:szCs w:val="32"/>
          <w:lang w:eastAsia="zh-CN"/>
        </w:rPr>
        <w:t>是费用不同</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2024年度我单位进行绩效自评工作。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23598_WPSOffice_Level2"/>
      <w:bookmarkStart w:id="96" w:name="_Toc18325_WPSOffice_Level2"/>
      <w:bookmarkStart w:id="97" w:name="_Toc15262_WPSOffice_Level2"/>
      <w:bookmarkStart w:id="98" w:name="_Toc5978_WPSOffice_Level2"/>
      <w:bookmarkStart w:id="99" w:name="_Toc15565_WPSOffice_Level2"/>
      <w:bookmarkStart w:id="100" w:name="_Toc32639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bidi="ar"/>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人大</w:t>
      </w:r>
      <w:r>
        <w:rPr>
          <w:rFonts w:hint="eastAsia" w:ascii="仿宋_GB2312" w:hAnsi="ˎ̥" w:eastAsia="仿宋_GB2312"/>
          <w:color w:val="000000" w:themeColor="text1"/>
          <w:sz w:val="32"/>
          <w:szCs w:val="32"/>
          <w14:textFill>
            <w14:solidFill>
              <w14:schemeClr w14:val="tx1"/>
            </w14:solidFill>
          </w14:textFill>
        </w:rPr>
        <w:t>（单位）机关运行经费</w:t>
      </w:r>
      <w:r>
        <w:rPr>
          <w:rFonts w:hint="eastAsia" w:ascii="仿宋_GB2312" w:hAnsi="ˎ̥" w:eastAsia="仿宋_GB2312"/>
          <w:color w:val="000000" w:themeColor="text1"/>
          <w:sz w:val="32"/>
          <w:szCs w:val="32"/>
          <w:lang w:val="en-US" w:eastAsia="zh-CN"/>
          <w14:textFill>
            <w14:solidFill>
              <w14:schemeClr w14:val="tx1"/>
            </w14:solidFill>
          </w14:textFill>
        </w:rPr>
        <w:t>640.32</w:t>
      </w:r>
      <w:r>
        <w:rPr>
          <w:rFonts w:hint="eastAsia" w:ascii="仿宋_GB2312" w:hAnsi="ˎ̥" w:eastAsia="仿宋_GB2312"/>
          <w:color w:val="000000" w:themeColor="text1"/>
          <w:sz w:val="32"/>
          <w:szCs w:val="32"/>
          <w14:textFill>
            <w14:solidFill>
              <w14:schemeClr w14:val="tx1"/>
            </w14:solidFill>
          </w14:textFill>
        </w:rPr>
        <w:t>万元（为部门决算中行政单位和参公事业单位财政拨款基本支出中公用经费支出之和，事业单位没有机关运行经费支出）</w:t>
      </w:r>
      <w:r>
        <w:rPr>
          <w:rFonts w:hint="eastAsia" w:ascii="仿宋_GB2312" w:hAnsi="ˎ̥" w:eastAsia="仿宋_GB2312"/>
          <w:color w:val="000000" w:themeColor="text1"/>
          <w:sz w:val="32"/>
          <w:szCs w:val="32"/>
          <w:lang w:val="en-US" w:eastAsia="zh-CN"/>
          <w14:textFill>
            <w14:solidFill>
              <w14:schemeClr w14:val="tx1"/>
            </w14:solidFill>
          </w14:textFill>
        </w:rPr>
        <w:t>与2023年度相比，机关运行经费</w:t>
      </w:r>
      <w:r>
        <w:rPr>
          <w:rFonts w:hint="eastAsia" w:ascii="仿宋_GB2312" w:hAnsi="ˎ̥" w:eastAsia="仿宋_GB2312"/>
          <w:color w:val="000000" w:themeColor="text1"/>
          <w:sz w:val="32"/>
          <w:szCs w:val="32"/>
          <w14:textFill>
            <w14:solidFill>
              <w14:schemeClr w14:val="tx1"/>
            </w14:solidFill>
          </w14:textFill>
        </w:rPr>
        <w:t>增加</w:t>
      </w:r>
      <w:r>
        <w:rPr>
          <w:rFonts w:hint="eastAsia" w:ascii="仿宋_GB2312" w:hAnsi="ˎ̥" w:eastAsia="仿宋_GB2312"/>
          <w:color w:val="000000" w:themeColor="text1"/>
          <w:sz w:val="32"/>
          <w:szCs w:val="32"/>
          <w:lang w:val="en-US" w:eastAsia="zh-CN"/>
          <w14:textFill>
            <w14:solidFill>
              <w14:schemeClr w14:val="tx1"/>
            </w14:solidFill>
          </w14:textFill>
        </w:rPr>
        <w:t>88.5</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增长13</w:t>
      </w:r>
      <w:bookmarkStart w:id="119" w:name="_GoBack"/>
      <w:bookmarkEnd w:id="119"/>
      <w:r>
        <w:rPr>
          <w:rFonts w:hint="eastAsia" w:ascii="仿宋_GB2312" w:hAnsi="ˎ̥" w:eastAsia="仿宋_GB2312"/>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主要原因是：人员数量增加</w:t>
      </w:r>
      <w:bookmarkStart w:id="101" w:name="_Toc3131_WPSOffice_Level2"/>
      <w:bookmarkStart w:id="102" w:name="_Toc30383_WPSOffice_Level2"/>
      <w:bookmarkStart w:id="103" w:name="_Toc25333_WPSOffice_Level2"/>
      <w:bookmarkStart w:id="104" w:name="_Toc32689_WPSOffice_Level2"/>
      <w:bookmarkStart w:id="105" w:name="_Toc23966_WPSOffice_Level2"/>
      <w:bookmarkStart w:id="106" w:name="_Toc13084_WPSOffice_Level2"/>
      <w:r>
        <w:rPr>
          <w:rFonts w:hint="eastAsia" w:ascii="仿宋_GB2312" w:hAnsi="ˎ̥" w:eastAsia="仿宋_GB2312"/>
          <w:color w:val="000000" w:themeColor="text1"/>
          <w:sz w:val="32"/>
          <w:szCs w:val="32"/>
          <w:lang w:eastAsia="zh-CN"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人大</w:t>
      </w:r>
      <w:r>
        <w:rPr>
          <w:rFonts w:hint="eastAsia" w:ascii="仿宋_GB2312" w:hAnsi="ˎ̥" w:eastAsia="仿宋_GB2312"/>
          <w:sz w:val="32"/>
          <w:szCs w:val="32"/>
        </w:rPr>
        <w:t>部门（单位）政府采购支出总额</w:t>
      </w:r>
      <w:r>
        <w:rPr>
          <w:rFonts w:hint="eastAsia" w:ascii="仿宋_GB2312" w:hAnsi="ˎ̥" w:eastAsia="仿宋_GB2312"/>
          <w:sz w:val="32"/>
          <w:szCs w:val="32"/>
          <w:lang w:val="en-US" w:eastAsia="zh-CN"/>
        </w:rPr>
        <w:t>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5129_WPSOffice_Level2"/>
      <w:bookmarkStart w:id="108" w:name="_Toc29584_WPSOffice_Level2"/>
      <w:bookmarkStart w:id="109" w:name="_Toc6016_WPSOffice_Level2"/>
      <w:bookmarkStart w:id="110" w:name="_Toc10902_WPSOffice_Level2"/>
      <w:bookmarkStart w:id="111" w:name="_Toc19989_WPSOffice_Level2"/>
      <w:bookmarkStart w:id="112" w:name="_Toc527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w:t>
      </w:r>
      <w:r>
        <w:rPr>
          <w:rFonts w:hint="eastAsia" w:ascii="仿宋_GB2312" w:hAnsi="ˎ̥" w:eastAsia="仿宋_GB2312"/>
          <w:color w:val="000000" w:themeColor="text1"/>
          <w:sz w:val="32"/>
          <w:szCs w:val="32"/>
          <w14:textFill>
            <w14:solidFill>
              <w14:schemeClr w14:val="tx1"/>
            </w14:solidFill>
          </w14:textFill>
        </w:rPr>
        <w:t>屋面积</w:t>
      </w:r>
      <w:r>
        <w:rPr>
          <w:rFonts w:hint="eastAsia" w:ascii="仿宋_GB2312" w:hAnsi="ˎ̥" w:eastAsia="仿宋_GB2312"/>
          <w:color w:val="000000" w:themeColor="text1"/>
          <w:sz w:val="32"/>
          <w:szCs w:val="32"/>
          <w:lang w:val="en-US" w:eastAsia="zh-CN"/>
          <w14:textFill>
            <w14:solidFill>
              <w14:schemeClr w14:val="tx1"/>
            </w14:solidFill>
          </w14:textFill>
        </w:rPr>
        <w:t>140</w:t>
      </w:r>
      <w:r>
        <w:rPr>
          <w:rFonts w:hint="eastAsia" w:ascii="仿宋_GB2312" w:hAnsi="ˎ̥" w:eastAsia="仿宋_GB2312"/>
          <w:color w:val="000000" w:themeColor="text1"/>
          <w:sz w:val="32"/>
          <w:szCs w:val="32"/>
          <w14:textFill>
            <w14:solidFill>
              <w14:schemeClr w14:val="tx1"/>
            </w14:solidFill>
          </w14:textFill>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4398_WPSOffice_Level1"/>
      <w:bookmarkStart w:id="114" w:name="_Toc8808_WPSOffice_Level1"/>
      <w:bookmarkStart w:id="115" w:name="_Toc11039_WPSOffice_Level1"/>
      <w:bookmarkStart w:id="116" w:name="_Toc15425_WPSOffice_Level1"/>
      <w:bookmarkStart w:id="117" w:name="_Toc8874_WPSOffice_Level1"/>
      <w:bookmarkStart w:id="118"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2880" w:firstLineChars="900"/>
        <w:jc w:val="both"/>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2880" w:firstLineChars="900"/>
        <w:jc w:val="both"/>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abstractNum w:abstractNumId="2">
    <w:nsid w:val="7E39A270"/>
    <w:multiLevelType w:val="singleLevel"/>
    <w:tmpl w:val="7E39A270"/>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ZmVlNGJlMTVlY2ViNDE4Y2IyMzVlZGNmOWNhNmU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E65A6"/>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EE6ED0"/>
    <w:rsid w:val="079B1BC6"/>
    <w:rsid w:val="09201287"/>
    <w:rsid w:val="0A584055"/>
    <w:rsid w:val="0B554CF5"/>
    <w:rsid w:val="0BF57DE5"/>
    <w:rsid w:val="0C3D4D1C"/>
    <w:rsid w:val="0C701D65"/>
    <w:rsid w:val="0CA51D18"/>
    <w:rsid w:val="0DFC2A13"/>
    <w:rsid w:val="0E0D19F9"/>
    <w:rsid w:val="0E481408"/>
    <w:rsid w:val="0F546316"/>
    <w:rsid w:val="0FC80124"/>
    <w:rsid w:val="0FCE7798"/>
    <w:rsid w:val="0FD41E03"/>
    <w:rsid w:val="10C836BC"/>
    <w:rsid w:val="112E43DE"/>
    <w:rsid w:val="11F34906"/>
    <w:rsid w:val="12207B72"/>
    <w:rsid w:val="122F0C39"/>
    <w:rsid w:val="125F54F4"/>
    <w:rsid w:val="136F98C7"/>
    <w:rsid w:val="13A459FD"/>
    <w:rsid w:val="13B269C6"/>
    <w:rsid w:val="141C7627"/>
    <w:rsid w:val="14BC6F88"/>
    <w:rsid w:val="161465DE"/>
    <w:rsid w:val="16800F84"/>
    <w:rsid w:val="16A90E90"/>
    <w:rsid w:val="17427E68"/>
    <w:rsid w:val="1755065F"/>
    <w:rsid w:val="19414C6F"/>
    <w:rsid w:val="1A2B2D77"/>
    <w:rsid w:val="1A700259"/>
    <w:rsid w:val="1AFC29C9"/>
    <w:rsid w:val="1B605D9E"/>
    <w:rsid w:val="1B8279E2"/>
    <w:rsid w:val="1CA52F2E"/>
    <w:rsid w:val="1D037280"/>
    <w:rsid w:val="1D386547"/>
    <w:rsid w:val="1DFE370B"/>
    <w:rsid w:val="1E3630B9"/>
    <w:rsid w:val="1E7F2203"/>
    <w:rsid w:val="1F2130DA"/>
    <w:rsid w:val="1F6F681F"/>
    <w:rsid w:val="21215DA2"/>
    <w:rsid w:val="218C4BEE"/>
    <w:rsid w:val="21D569E7"/>
    <w:rsid w:val="223A12E2"/>
    <w:rsid w:val="227B5315"/>
    <w:rsid w:val="22964F3D"/>
    <w:rsid w:val="242214DA"/>
    <w:rsid w:val="24CD64F5"/>
    <w:rsid w:val="26865C64"/>
    <w:rsid w:val="26EEC2B5"/>
    <w:rsid w:val="27A42F96"/>
    <w:rsid w:val="27CD0607"/>
    <w:rsid w:val="28741C1E"/>
    <w:rsid w:val="288A0337"/>
    <w:rsid w:val="289E14BB"/>
    <w:rsid w:val="29472309"/>
    <w:rsid w:val="295F7153"/>
    <w:rsid w:val="299C3C56"/>
    <w:rsid w:val="2B406E77"/>
    <w:rsid w:val="2C2A0C43"/>
    <w:rsid w:val="2C510C01"/>
    <w:rsid w:val="2CD057A3"/>
    <w:rsid w:val="2D1E73A5"/>
    <w:rsid w:val="2D826F19"/>
    <w:rsid w:val="2D89577D"/>
    <w:rsid w:val="2E446AA1"/>
    <w:rsid w:val="2E653B55"/>
    <w:rsid w:val="30CB1738"/>
    <w:rsid w:val="31E87920"/>
    <w:rsid w:val="32432E62"/>
    <w:rsid w:val="32717154"/>
    <w:rsid w:val="327D4667"/>
    <w:rsid w:val="345D37D6"/>
    <w:rsid w:val="34773C0D"/>
    <w:rsid w:val="34B63260"/>
    <w:rsid w:val="36425119"/>
    <w:rsid w:val="36F909B9"/>
    <w:rsid w:val="37436B6D"/>
    <w:rsid w:val="37456FF1"/>
    <w:rsid w:val="37B86276"/>
    <w:rsid w:val="37FDA7E2"/>
    <w:rsid w:val="385936C6"/>
    <w:rsid w:val="3A314D88"/>
    <w:rsid w:val="3A746883"/>
    <w:rsid w:val="3AE635AB"/>
    <w:rsid w:val="3B7E36E2"/>
    <w:rsid w:val="3BEA2EDB"/>
    <w:rsid w:val="3C3813E8"/>
    <w:rsid w:val="3C8D24BD"/>
    <w:rsid w:val="3CA15DE9"/>
    <w:rsid w:val="3D5D0B3E"/>
    <w:rsid w:val="3DE55053"/>
    <w:rsid w:val="3E691DE9"/>
    <w:rsid w:val="3F266E99"/>
    <w:rsid w:val="3F9133A5"/>
    <w:rsid w:val="3FE61EE5"/>
    <w:rsid w:val="402A2D2F"/>
    <w:rsid w:val="404D54BE"/>
    <w:rsid w:val="40586E18"/>
    <w:rsid w:val="406508EE"/>
    <w:rsid w:val="40793A83"/>
    <w:rsid w:val="408A2031"/>
    <w:rsid w:val="408D6263"/>
    <w:rsid w:val="41AC1CEE"/>
    <w:rsid w:val="41B40CEE"/>
    <w:rsid w:val="420D73C4"/>
    <w:rsid w:val="42165DD5"/>
    <w:rsid w:val="424D6A63"/>
    <w:rsid w:val="42B1471F"/>
    <w:rsid w:val="430430FB"/>
    <w:rsid w:val="43A652D8"/>
    <w:rsid w:val="448C2E07"/>
    <w:rsid w:val="44BD41B8"/>
    <w:rsid w:val="47332113"/>
    <w:rsid w:val="47572972"/>
    <w:rsid w:val="48317291"/>
    <w:rsid w:val="485F7024"/>
    <w:rsid w:val="48E70666"/>
    <w:rsid w:val="49250F5A"/>
    <w:rsid w:val="495952D5"/>
    <w:rsid w:val="495B54CA"/>
    <w:rsid w:val="49D42516"/>
    <w:rsid w:val="4A474D21"/>
    <w:rsid w:val="4B465887"/>
    <w:rsid w:val="4BDE1A74"/>
    <w:rsid w:val="4C6877E5"/>
    <w:rsid w:val="4CDB6F82"/>
    <w:rsid w:val="4D6A468D"/>
    <w:rsid w:val="4E87622F"/>
    <w:rsid w:val="4EA86137"/>
    <w:rsid w:val="4F3D2490"/>
    <w:rsid w:val="506428F2"/>
    <w:rsid w:val="51637415"/>
    <w:rsid w:val="524E4B4F"/>
    <w:rsid w:val="53EB5C51"/>
    <w:rsid w:val="54080232"/>
    <w:rsid w:val="54711E66"/>
    <w:rsid w:val="549C3CED"/>
    <w:rsid w:val="56B43355"/>
    <w:rsid w:val="56CA7FD0"/>
    <w:rsid w:val="56EC2647"/>
    <w:rsid w:val="57FA38D1"/>
    <w:rsid w:val="584B0D58"/>
    <w:rsid w:val="595834CF"/>
    <w:rsid w:val="598B3664"/>
    <w:rsid w:val="5A1654EB"/>
    <w:rsid w:val="5A6A27A9"/>
    <w:rsid w:val="5AE74863"/>
    <w:rsid w:val="5B7E54E2"/>
    <w:rsid w:val="5C8A2D71"/>
    <w:rsid w:val="5E1C340E"/>
    <w:rsid w:val="5E3F3792"/>
    <w:rsid w:val="5E50468E"/>
    <w:rsid w:val="5F22696D"/>
    <w:rsid w:val="5F7D3333"/>
    <w:rsid w:val="60A0116E"/>
    <w:rsid w:val="612B49A9"/>
    <w:rsid w:val="61385890"/>
    <w:rsid w:val="61461DEA"/>
    <w:rsid w:val="624037BB"/>
    <w:rsid w:val="63681160"/>
    <w:rsid w:val="63D25BB7"/>
    <w:rsid w:val="659722B8"/>
    <w:rsid w:val="65D903D4"/>
    <w:rsid w:val="66283718"/>
    <w:rsid w:val="66D35FB9"/>
    <w:rsid w:val="670808F6"/>
    <w:rsid w:val="684566A5"/>
    <w:rsid w:val="687436E1"/>
    <w:rsid w:val="692C00EA"/>
    <w:rsid w:val="6A182FBF"/>
    <w:rsid w:val="6CB82F5B"/>
    <w:rsid w:val="6D8343C6"/>
    <w:rsid w:val="6DA45C50"/>
    <w:rsid w:val="6DED672C"/>
    <w:rsid w:val="6DFB7AD2"/>
    <w:rsid w:val="6E203CD9"/>
    <w:rsid w:val="6E9A7825"/>
    <w:rsid w:val="6ED23B5B"/>
    <w:rsid w:val="6F0D4530"/>
    <w:rsid w:val="6F670F9B"/>
    <w:rsid w:val="6F760612"/>
    <w:rsid w:val="711315BD"/>
    <w:rsid w:val="716F3AD4"/>
    <w:rsid w:val="71D651F0"/>
    <w:rsid w:val="737450E0"/>
    <w:rsid w:val="74054476"/>
    <w:rsid w:val="742F38C4"/>
    <w:rsid w:val="74AB66DC"/>
    <w:rsid w:val="74C4154C"/>
    <w:rsid w:val="75956FFF"/>
    <w:rsid w:val="763D2A1B"/>
    <w:rsid w:val="7683646B"/>
    <w:rsid w:val="768D1A89"/>
    <w:rsid w:val="77201599"/>
    <w:rsid w:val="77AA2D01"/>
    <w:rsid w:val="77B41E1D"/>
    <w:rsid w:val="79584EB9"/>
    <w:rsid w:val="79732CBE"/>
    <w:rsid w:val="7A664F23"/>
    <w:rsid w:val="7ACF5D34"/>
    <w:rsid w:val="7BA5503A"/>
    <w:rsid w:val="7C174657"/>
    <w:rsid w:val="7CDE1DBD"/>
    <w:rsid w:val="7D931228"/>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6894</Words>
  <Characters>7689</Characters>
  <Lines>67</Lines>
  <Paragraphs>18</Paragraphs>
  <TotalTime>9</TotalTime>
  <ScaleCrop>false</ScaleCrop>
  <LinksUpToDate>false</LinksUpToDate>
  <CharactersWithSpaces>7792</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2026-02-02T04:41:00Z</cp:lastPrinted>
  <dcterms:modified xsi:type="dcterms:W3CDTF">2026-02-02T09:00:46Z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