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8" w:lineRule="exact"/>
        <w:jc w:val="center"/>
        <w:rPr>
          <w:rFonts w:hint="eastAsia" w:asciiTheme="majorEastAsia" w:hAnsiTheme="majorEastAsia" w:eastAsiaTheme="majorEastAsia" w:cstheme="majorEastAsia"/>
          <w:b/>
          <w:bCs/>
          <w:sz w:val="44"/>
          <w:szCs w:val="44"/>
        </w:rPr>
      </w:pPr>
      <w:r>
        <w:rPr>
          <w:rFonts w:hint="eastAsia" w:asciiTheme="majorEastAsia" w:hAnsiTheme="majorEastAsia" w:eastAsiaTheme="majorEastAsia" w:cstheme="majorEastAsia"/>
          <w:b/>
          <w:bCs/>
          <w:sz w:val="44"/>
          <w:szCs w:val="44"/>
        </w:rPr>
        <w:t>申扎县人社局机关2024年度部门决算公开报告</w:t>
      </w:r>
    </w:p>
    <w:p>
      <w:pPr>
        <w:spacing w:line="578" w:lineRule="exact"/>
        <w:jc w:val="center"/>
        <w:rPr>
          <w:rFonts w:hint="eastAsia" w:ascii="黑体" w:hAnsi="ˎ̥" w:eastAsia="黑体"/>
          <w:b/>
          <w:sz w:val="32"/>
          <w:szCs w:val="32"/>
        </w:rPr>
      </w:pPr>
    </w:p>
    <w:p>
      <w:pPr>
        <w:spacing w:line="578" w:lineRule="exact"/>
        <w:jc w:val="center"/>
        <w:rPr>
          <w:rFonts w:hint="eastAsia" w:ascii="黑体" w:hAnsi="黑体" w:eastAsia="黑体" w:cs="黑体"/>
          <w:sz w:val="44"/>
          <w:szCs w:val="44"/>
        </w:rPr>
      </w:pPr>
      <w:bookmarkStart w:id="0" w:name="_Toc11440_WPSOffice_Type2"/>
      <w:r>
        <w:rPr>
          <w:rFonts w:hint="eastAsia" w:ascii="黑体" w:hAnsi="黑体" w:eastAsia="黑体" w:cs="黑体"/>
          <w:sz w:val="44"/>
          <w:szCs w:val="44"/>
        </w:rPr>
        <w:t>目  录</w:t>
      </w:r>
    </w:p>
    <w:p>
      <w:pPr>
        <w:pStyle w:val="15"/>
        <w:tabs>
          <w:tab w:val="right" w:leader="dot" w:pos="8306"/>
        </w:tabs>
        <w:spacing w:line="578" w:lineRule="exact"/>
        <w:rPr>
          <w:rFonts w:hint="eastAsia"/>
          <w:sz w:val="32"/>
          <w:szCs w:val="32"/>
        </w:rPr>
      </w:pPr>
      <w:r>
        <w:rPr>
          <w:sz w:val="32"/>
          <w:szCs w:val="32"/>
        </w:rPr>
        <w:fldChar w:fldCharType="begin"/>
      </w:r>
      <w:r>
        <w:rPr>
          <w:sz w:val="32"/>
          <w:szCs w:val="32"/>
        </w:rPr>
        <w:instrText xml:space="preserve"> HYPERLINK \l _Toc1704_WPSOffice_Level1 </w:instrText>
      </w:r>
      <w:r>
        <w:rPr>
          <w:sz w:val="32"/>
          <w:szCs w:val="32"/>
        </w:rPr>
        <w:fldChar w:fldCharType="separate"/>
      </w:r>
      <w:r>
        <w:rPr>
          <w:rFonts w:hint="eastAsia" w:ascii="黑体" w:hAnsi="ˎ̥" w:eastAsia="黑体"/>
          <w:sz w:val="32"/>
          <w:szCs w:val="32"/>
        </w:rPr>
        <w:t>第一部分 基本情况</w:t>
      </w:r>
      <w:r>
        <w:rPr>
          <w:sz w:val="32"/>
          <w:szCs w:val="32"/>
        </w:rPr>
        <w:tab/>
      </w:r>
      <w:r>
        <w:rPr>
          <w:sz w:val="32"/>
          <w:szCs w:val="32"/>
        </w:rPr>
        <w:fldChar w:fldCharType="end"/>
      </w:r>
      <w:r>
        <w:rPr>
          <w:rFonts w:hint="eastAsia"/>
          <w:sz w:val="32"/>
          <w:szCs w:val="32"/>
        </w:rPr>
        <w:t>2</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_Toc20274_WPSOffice_Level2 </w:instrText>
      </w:r>
      <w:r>
        <w:rPr>
          <w:rFonts w:hint="eastAsia" w:ascii="仿宋" w:hAnsi="仿宋" w:eastAsia="仿宋" w:cs="仿宋"/>
          <w:sz w:val="32"/>
          <w:szCs w:val="32"/>
        </w:rPr>
        <w:fldChar w:fldCharType="separate"/>
      </w:r>
      <w:r>
        <w:rPr>
          <w:rFonts w:hint="eastAsia" w:ascii="仿宋" w:hAnsi="仿宋" w:eastAsia="仿宋" w:cs="仿宋"/>
          <w:sz w:val="32"/>
          <w:szCs w:val="32"/>
        </w:rPr>
        <w:t>一、部门（单位）职责</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2</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_Toc4833_WPSOffice_Level2 </w:instrText>
      </w:r>
      <w:r>
        <w:rPr>
          <w:rFonts w:hint="eastAsia" w:ascii="仿宋" w:hAnsi="仿宋" w:eastAsia="仿宋" w:cs="仿宋"/>
          <w:sz w:val="32"/>
          <w:szCs w:val="32"/>
        </w:rPr>
        <w:fldChar w:fldCharType="separate"/>
      </w:r>
      <w:r>
        <w:rPr>
          <w:rFonts w:hint="eastAsia" w:ascii="仿宋" w:hAnsi="仿宋" w:eastAsia="仿宋" w:cs="仿宋"/>
          <w:sz w:val="32"/>
          <w:szCs w:val="32"/>
        </w:rPr>
        <w:t>二、机构设置</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2</w:t>
      </w:r>
    </w:p>
    <w:p>
      <w:pPr>
        <w:pStyle w:val="15"/>
        <w:tabs>
          <w:tab w:val="right" w:leader="dot" w:pos="8306"/>
        </w:tabs>
        <w:spacing w:line="578" w:lineRule="exact"/>
        <w:rPr>
          <w:rFonts w:hint="eastAsia"/>
          <w:sz w:val="32"/>
          <w:szCs w:val="32"/>
        </w:rPr>
      </w:pPr>
      <w:r>
        <w:rPr>
          <w:sz w:val="32"/>
          <w:szCs w:val="32"/>
        </w:rPr>
        <w:fldChar w:fldCharType="begin"/>
      </w:r>
      <w:r>
        <w:rPr>
          <w:sz w:val="32"/>
          <w:szCs w:val="32"/>
        </w:rPr>
        <w:instrText xml:space="preserve"> HYPERLINK \l _Toc28253_WPSOffice_Level1 </w:instrText>
      </w:r>
      <w:r>
        <w:rPr>
          <w:sz w:val="32"/>
          <w:szCs w:val="32"/>
        </w:rPr>
        <w:fldChar w:fldCharType="separate"/>
      </w:r>
      <w:r>
        <w:rPr>
          <w:rFonts w:hint="eastAsia" w:ascii="黑体" w:hAnsi="ˎ̥" w:eastAsia="黑体"/>
          <w:sz w:val="32"/>
          <w:szCs w:val="32"/>
        </w:rPr>
        <w:t xml:space="preserve">第二部分  </w:t>
      </w:r>
      <w:r>
        <w:rPr>
          <w:rFonts w:hint="default" w:ascii="黑体" w:hAnsi="ˎ̥" w:eastAsia="黑体"/>
          <w:sz w:val="32"/>
          <w:szCs w:val="32"/>
          <w:lang w:val="en-US"/>
        </w:rPr>
        <w:t>2024</w:t>
      </w:r>
      <w:r>
        <w:rPr>
          <w:rFonts w:hint="eastAsia" w:ascii="黑体" w:hAnsi="ˎ̥" w:eastAsia="黑体"/>
          <w:sz w:val="32"/>
          <w:szCs w:val="32"/>
        </w:rPr>
        <w:t>年度部门决算公开表</w:t>
      </w:r>
      <w:r>
        <w:rPr>
          <w:sz w:val="32"/>
          <w:szCs w:val="32"/>
        </w:rPr>
        <w:tab/>
      </w:r>
      <w:r>
        <w:rPr>
          <w:sz w:val="32"/>
          <w:szCs w:val="32"/>
        </w:rPr>
        <w:fldChar w:fldCharType="end"/>
      </w:r>
      <w:r>
        <w:rPr>
          <w:rFonts w:hint="eastAsia"/>
          <w:sz w:val="32"/>
          <w:szCs w:val="32"/>
        </w:rPr>
        <w:t>2</w:t>
      </w:r>
    </w:p>
    <w:p>
      <w:pPr>
        <w:pStyle w:val="15"/>
        <w:tabs>
          <w:tab w:val="right" w:leader="dot" w:pos="8306"/>
        </w:tabs>
        <w:spacing w:line="578" w:lineRule="exact"/>
        <w:rPr>
          <w:rFonts w:hint="eastAsia"/>
          <w:sz w:val="32"/>
          <w:szCs w:val="32"/>
        </w:rPr>
      </w:pPr>
      <w:r>
        <w:rPr>
          <w:sz w:val="32"/>
          <w:szCs w:val="32"/>
        </w:rPr>
        <w:fldChar w:fldCharType="begin"/>
      </w:r>
      <w:r>
        <w:rPr>
          <w:sz w:val="32"/>
          <w:szCs w:val="32"/>
        </w:rPr>
        <w:instrText xml:space="preserve"> HYPERLINK \l _Toc27590_WPSOffice_Level1 </w:instrText>
      </w:r>
      <w:r>
        <w:rPr>
          <w:sz w:val="32"/>
          <w:szCs w:val="32"/>
        </w:rPr>
        <w:fldChar w:fldCharType="separate"/>
      </w:r>
      <w:r>
        <w:rPr>
          <w:rFonts w:hint="eastAsia" w:ascii="黑体" w:hAnsi="黑体" w:eastAsia="黑体" w:cs="黑体"/>
          <w:sz w:val="32"/>
          <w:szCs w:val="32"/>
        </w:rPr>
        <w:t>第三部分</w:t>
      </w:r>
      <w:r>
        <w:rPr>
          <w:rFonts w:hint="eastAsia"/>
          <w:sz w:val="32"/>
          <w:szCs w:val="32"/>
        </w:rPr>
        <w:t xml:space="preserve">  </w:t>
      </w:r>
      <w:r>
        <w:rPr>
          <w:rFonts w:hint="default" w:ascii="黑体" w:hAnsi="ˎ̥" w:eastAsia="黑体"/>
          <w:sz w:val="32"/>
          <w:szCs w:val="32"/>
          <w:lang w:val="en-US"/>
        </w:rPr>
        <w:t>2024</w:t>
      </w:r>
      <w:r>
        <w:rPr>
          <w:rFonts w:hint="eastAsia" w:ascii="黑体" w:hAnsi="ˎ̥" w:eastAsia="黑体"/>
          <w:sz w:val="32"/>
          <w:szCs w:val="32"/>
        </w:rPr>
        <w:t>年度部门决算情况说明</w:t>
      </w:r>
      <w:r>
        <w:rPr>
          <w:sz w:val="32"/>
          <w:szCs w:val="32"/>
        </w:rPr>
        <w:tab/>
      </w:r>
      <w:r>
        <w:rPr>
          <w:sz w:val="32"/>
          <w:szCs w:val="32"/>
        </w:rPr>
        <w:fldChar w:fldCharType="end"/>
      </w:r>
      <w:r>
        <w:rPr>
          <w:rFonts w:hint="eastAsia"/>
          <w:sz w:val="32"/>
          <w:szCs w:val="32"/>
        </w:rPr>
        <w:t>3</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_Toc21737_WPSOffice_Level2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一、收入支出总体情况说明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3</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二、收入决算情况说明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4</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三、支出决算情况说明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4</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四、财政拨款收入支出决算</w:t>
      </w:r>
      <w:r>
        <w:rPr>
          <w:rFonts w:hint="eastAsia" w:ascii="仿宋" w:hAnsi="仿宋" w:eastAsia="仿宋" w:cs="仿宋"/>
          <w:bCs/>
          <w:sz w:val="32"/>
          <w:szCs w:val="32"/>
          <w:lang w:val="en-US" w:eastAsia="zh-CN"/>
        </w:rPr>
        <w:t>总体</w:t>
      </w:r>
      <w:r>
        <w:rPr>
          <w:rFonts w:hint="eastAsia" w:ascii="仿宋" w:hAnsi="仿宋" w:eastAsia="仿宋" w:cs="仿宋"/>
          <w:bCs/>
          <w:sz w:val="32"/>
          <w:szCs w:val="32"/>
        </w:rPr>
        <w:t>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4</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五、一般公共预算财政拨款支出决算情况说明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5</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六、一般公共预算财政拨款基本支出决算情况说明</w:t>
      </w:r>
      <w:r>
        <w:rPr>
          <w:rFonts w:hint="eastAsia" w:ascii="仿宋" w:hAnsi="仿宋" w:eastAsia="仿宋" w:cs="仿宋"/>
          <w:sz w:val="32"/>
          <w:szCs w:val="32"/>
        </w:rPr>
        <w:fldChar w:fldCharType="end"/>
      </w:r>
      <w:r>
        <w:rPr>
          <w:rFonts w:hint="eastAsia" w:ascii="仿宋" w:hAnsi="仿宋" w:eastAsia="仿宋" w:cs="仿宋"/>
          <w:sz w:val="32"/>
          <w:szCs w:val="32"/>
        </w:rPr>
        <w:tab/>
      </w:r>
      <w:r>
        <w:rPr>
          <w:rFonts w:hint="eastAsia" w:ascii="仿宋" w:hAnsi="仿宋" w:eastAsia="仿宋" w:cs="仿宋"/>
          <w:sz w:val="32"/>
          <w:szCs w:val="32"/>
        </w:rPr>
        <w:t>6</w:t>
      </w:r>
    </w:p>
    <w:p>
      <w:pPr>
        <w:pStyle w:val="16"/>
        <w:numPr>
          <w:ilvl w:val="0"/>
          <w:numId w:val="1"/>
        </w:numPr>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bCs/>
          <w:sz w:val="32"/>
          <w:szCs w:val="32"/>
        </w:rPr>
        <w:t>政府性基金预算财政拨款支出决算情况说明</w:t>
      </w:r>
      <w:r>
        <w:rPr>
          <w:rFonts w:hint="eastAsia" w:ascii="仿宋" w:hAnsi="仿宋" w:eastAsia="仿宋" w:cs="仿宋"/>
          <w:sz w:val="32"/>
          <w:szCs w:val="32"/>
        </w:rPr>
        <w:tab/>
      </w:r>
      <w:r>
        <w:rPr>
          <w:rFonts w:hint="eastAsia" w:ascii="仿宋" w:hAnsi="仿宋" w:eastAsia="仿宋" w:cs="仿宋"/>
          <w:sz w:val="32"/>
          <w:szCs w:val="32"/>
        </w:rPr>
        <w:t>7</w:t>
      </w:r>
    </w:p>
    <w:p>
      <w:pPr>
        <w:pStyle w:val="16"/>
        <w:numPr>
          <w:ilvl w:val="0"/>
          <w:numId w:val="1"/>
        </w:numPr>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bCs/>
          <w:sz w:val="32"/>
          <w:szCs w:val="32"/>
        </w:rPr>
        <w:t>国有资本经营预算财政拨款支出决算情况说明</w:t>
      </w:r>
      <w:r>
        <w:rPr>
          <w:rFonts w:hint="eastAsia" w:ascii="仿宋" w:hAnsi="仿宋" w:eastAsia="仿宋" w:cs="仿宋"/>
          <w:sz w:val="32"/>
          <w:szCs w:val="32"/>
        </w:rPr>
        <w:tab/>
      </w:r>
      <w:r>
        <w:rPr>
          <w:rFonts w:hint="eastAsia" w:ascii="仿宋" w:hAnsi="仿宋" w:eastAsia="仿宋" w:cs="仿宋"/>
          <w:sz w:val="32"/>
          <w:szCs w:val="32"/>
        </w:rPr>
        <w:t>8</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九、财政拨款“三公”经费支出决算情况说明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9</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十、预算绩效情况说明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11</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bCs/>
          <w:sz w:val="32"/>
          <w:szCs w:val="32"/>
        </w:rPr>
        <w:t>十一、其他重要事项情况说明</w:t>
      </w:r>
      <w:r>
        <w:rPr>
          <w:rFonts w:hint="eastAsia" w:ascii="仿宋" w:hAnsi="仿宋" w:eastAsia="仿宋" w:cs="仿宋"/>
          <w:sz w:val="32"/>
          <w:szCs w:val="32"/>
        </w:rPr>
        <w:tab/>
      </w:r>
      <w:r>
        <w:rPr>
          <w:rFonts w:hint="eastAsia" w:ascii="仿宋" w:hAnsi="仿宋" w:eastAsia="仿宋" w:cs="仿宋"/>
          <w:sz w:val="32"/>
          <w:szCs w:val="32"/>
        </w:rPr>
        <w:t>13</w:t>
      </w:r>
    </w:p>
    <w:p>
      <w:pPr>
        <w:pStyle w:val="15"/>
        <w:tabs>
          <w:tab w:val="right" w:leader="dot" w:pos="8306"/>
        </w:tabs>
        <w:spacing w:line="578" w:lineRule="exact"/>
        <w:rPr>
          <w:rFonts w:hint="eastAsia" w:ascii="黑体" w:hAnsi="ˎ̥"/>
          <w:b/>
          <w:sz w:val="32"/>
          <w:szCs w:val="32"/>
        </w:rPr>
      </w:pPr>
      <w:r>
        <w:rPr>
          <w:sz w:val="32"/>
          <w:szCs w:val="32"/>
        </w:rPr>
        <w:fldChar w:fldCharType="begin"/>
      </w:r>
      <w:r>
        <w:rPr>
          <w:sz w:val="32"/>
          <w:szCs w:val="32"/>
        </w:rPr>
        <w:instrText xml:space="preserve"> HYPERLINK \l _Toc15425_WPSOffice_Level1 </w:instrText>
      </w:r>
      <w:r>
        <w:rPr>
          <w:sz w:val="32"/>
          <w:szCs w:val="32"/>
        </w:rPr>
        <w:fldChar w:fldCharType="separate"/>
      </w:r>
      <w:r>
        <w:rPr>
          <w:rFonts w:hint="eastAsia" w:ascii="黑体" w:hAnsi="ˎ̥" w:eastAsia="黑体"/>
          <w:sz w:val="32"/>
          <w:szCs w:val="32"/>
        </w:rPr>
        <w:t>第四部分  名词解释</w:t>
      </w:r>
      <w:r>
        <w:rPr>
          <w:sz w:val="32"/>
          <w:szCs w:val="32"/>
        </w:rPr>
        <w:tab/>
      </w:r>
      <w:bookmarkStart w:id="1" w:name="_Toc15425_WPSOffice_Level1Page"/>
      <w:r>
        <w:rPr>
          <w:sz w:val="32"/>
          <w:szCs w:val="32"/>
        </w:rPr>
        <w:t>1</w:t>
      </w:r>
      <w:bookmarkEnd w:id="1"/>
      <w:r>
        <w:rPr>
          <w:sz w:val="32"/>
          <w:szCs w:val="32"/>
        </w:rPr>
        <w:fldChar w:fldCharType="end"/>
      </w:r>
      <w:bookmarkEnd w:id="0"/>
      <w:r>
        <w:rPr>
          <w:rFonts w:hint="eastAsia"/>
          <w:sz w:val="32"/>
          <w:szCs w:val="32"/>
        </w:rPr>
        <w:t>5</w:t>
      </w:r>
    </w:p>
    <w:p>
      <w:pPr>
        <w:spacing w:line="578" w:lineRule="exact"/>
        <w:jc w:val="both"/>
        <w:rPr>
          <w:rFonts w:hint="eastAsia" w:ascii="黑体" w:hAnsi="ˎ̥" w:eastAsia="黑体"/>
          <w:sz w:val="32"/>
          <w:szCs w:val="32"/>
        </w:rPr>
      </w:pPr>
      <w:bookmarkStart w:id="2" w:name="_Toc22941_WPSOffice_Level1"/>
      <w:bookmarkStart w:id="3" w:name="_Toc10720_WPSOffice_Level1"/>
      <w:bookmarkStart w:id="4" w:name="_Toc23465_WPSOffice_Level1"/>
      <w:bookmarkStart w:id="5" w:name="_Toc1704_WPSOffice_Level1"/>
      <w:bookmarkStart w:id="6" w:name="_Toc32433_WPSOffice_Level1"/>
      <w:bookmarkStart w:id="7" w:name="_Toc10049_WPSOffice_Level1"/>
      <w:bookmarkStart w:id="8" w:name="_Toc24238_WPSOffice_Level2"/>
      <w:bookmarkStart w:id="9" w:name="_Toc26580_WPSOffice_Level2"/>
      <w:bookmarkStart w:id="10" w:name="_Toc20205_WPSOffice_Level2"/>
      <w:bookmarkStart w:id="11" w:name="_Toc32622_WPSOffice_Level2"/>
      <w:bookmarkStart w:id="12" w:name="_Toc14159_WPSOffice_Level2"/>
      <w:bookmarkStart w:id="13" w:name="_Toc20274_WPSOffice_Level2"/>
    </w:p>
    <w:p>
      <w:pPr>
        <w:spacing w:line="578" w:lineRule="exact"/>
        <w:jc w:val="center"/>
        <w:rPr>
          <w:rFonts w:hint="eastAsia" w:ascii="黑体" w:hAnsi="ˎ̥" w:eastAsia="黑体"/>
          <w:sz w:val="32"/>
          <w:szCs w:val="32"/>
        </w:rPr>
      </w:pPr>
      <w:r>
        <w:rPr>
          <w:rFonts w:hint="eastAsia" w:ascii="黑体" w:hAnsi="ˎ̥" w:eastAsia="黑体"/>
          <w:sz w:val="32"/>
          <w:szCs w:val="32"/>
        </w:rPr>
        <w:t xml:space="preserve">第一部分  </w:t>
      </w:r>
      <w:bookmarkEnd w:id="2"/>
      <w:bookmarkEnd w:id="3"/>
      <w:bookmarkEnd w:id="4"/>
      <w:bookmarkEnd w:id="5"/>
      <w:bookmarkEnd w:id="6"/>
      <w:bookmarkEnd w:id="7"/>
      <w:r>
        <w:rPr>
          <w:rFonts w:hint="eastAsia" w:ascii="黑体" w:hAnsi="ˎ̥" w:eastAsia="黑体"/>
          <w:sz w:val="32"/>
          <w:szCs w:val="32"/>
        </w:rPr>
        <w:t>基本情况</w:t>
      </w:r>
    </w:p>
    <w:p>
      <w:pPr>
        <w:spacing w:line="578" w:lineRule="exact"/>
        <w:ind w:firstLine="640" w:firstLineChars="200"/>
        <w:rPr>
          <w:rFonts w:hint="eastAsia" w:ascii="楷体" w:hAnsi="楷体" w:eastAsia="楷体" w:cs="楷体"/>
          <w:sz w:val="32"/>
          <w:szCs w:val="32"/>
        </w:rPr>
      </w:pPr>
    </w:p>
    <w:p>
      <w:pPr>
        <w:spacing w:line="578"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一、部门</w:t>
      </w:r>
      <w:bookmarkEnd w:id="8"/>
      <w:r>
        <w:rPr>
          <w:rFonts w:hint="eastAsia" w:ascii="黑体" w:hAnsi="黑体" w:eastAsia="黑体" w:cs="黑体"/>
          <w:sz w:val="32"/>
          <w:szCs w:val="32"/>
        </w:rPr>
        <w:t>（单位）职责</w:t>
      </w:r>
      <w:bookmarkEnd w:id="9"/>
      <w:bookmarkEnd w:id="10"/>
      <w:bookmarkEnd w:id="11"/>
      <w:bookmarkEnd w:id="12"/>
      <w:bookmarkEnd w:id="13"/>
    </w:p>
    <w:p>
      <w:pPr>
        <w:spacing w:line="578" w:lineRule="exact"/>
        <w:ind w:firstLine="640" w:firstLineChars="200"/>
        <w:rPr>
          <w:rFonts w:hint="eastAsia" w:ascii="黑体" w:hAnsi="黑体" w:eastAsia="黑体" w:cs="黑体"/>
          <w:sz w:val="32"/>
          <w:szCs w:val="32"/>
        </w:rPr>
      </w:pPr>
      <w:bookmarkStart w:id="14" w:name="_Toc24474_WPSOffice_Level2"/>
      <w:bookmarkStart w:id="15" w:name="_Toc4833_WPSOffice_Level2"/>
      <w:bookmarkStart w:id="16" w:name="_Toc17796_WPSOffice_Level2"/>
      <w:bookmarkStart w:id="17" w:name="_Toc24059_WPSOffice_Level2"/>
      <w:bookmarkStart w:id="18" w:name="_Toc6572_WPSOffice_Level2"/>
      <w:r>
        <w:rPr>
          <w:rFonts w:hint="eastAsia" w:ascii="黑体" w:hAnsi="黑体" w:eastAsia="黑体" w:cs="黑体"/>
          <w:sz w:val="32"/>
          <w:szCs w:val="32"/>
        </w:rPr>
        <w:t>二、机构设置</w:t>
      </w:r>
      <w:bookmarkEnd w:id="14"/>
      <w:bookmarkEnd w:id="15"/>
      <w:bookmarkEnd w:id="16"/>
      <w:bookmarkEnd w:id="17"/>
      <w:bookmarkEnd w:id="18"/>
    </w:p>
    <w:p>
      <w:pPr>
        <w:spacing w:line="578" w:lineRule="exact"/>
        <w:ind w:firstLine="640" w:firstLineChars="200"/>
        <w:rPr>
          <w:rFonts w:hint="eastAsia" w:ascii="仿宋_GB2312" w:hAnsi="ˎ̥" w:eastAsia="仿宋_GB2312"/>
          <w:sz w:val="32"/>
          <w:szCs w:val="32"/>
        </w:rPr>
      </w:pPr>
      <w:r>
        <w:rPr>
          <w:rFonts w:hint="eastAsia" w:ascii="仿宋_GB2312" w:hAnsi="ˎ̥" w:eastAsia="仿宋_GB2312"/>
          <w:sz w:val="32"/>
          <w:szCs w:val="32"/>
        </w:rPr>
        <w:t>纳入</w:t>
      </w:r>
      <w:r>
        <w:rPr>
          <w:rFonts w:hint="eastAsia" w:ascii="仿宋_GB2312" w:hAnsi="ˎ̥" w:eastAsia="仿宋_GB2312"/>
          <w:color w:val="FF0000"/>
          <w:sz w:val="32"/>
          <w:szCs w:val="32"/>
          <w:lang w:val="en-US" w:eastAsia="zh-CN"/>
        </w:rPr>
        <w:t>申扎县</w:t>
      </w:r>
      <w:r>
        <w:rPr>
          <w:rFonts w:hint="default" w:ascii="仿宋_GB2312" w:hAnsi="ˎ̥" w:eastAsia="仿宋_GB2312"/>
          <w:sz w:val="32"/>
          <w:szCs w:val="32"/>
          <w:lang w:val="en-US"/>
        </w:rPr>
        <w:t>2024</w:t>
      </w:r>
      <w:r>
        <w:rPr>
          <w:rFonts w:hint="eastAsia" w:ascii="仿宋_GB2312" w:hAnsi="ˎ̥" w:eastAsia="仿宋_GB2312"/>
          <w:sz w:val="32"/>
          <w:szCs w:val="32"/>
        </w:rPr>
        <w:t>年度部门决算编制范围的单位共</w:t>
      </w:r>
      <w:r>
        <w:rPr>
          <w:rFonts w:hint="eastAsia" w:ascii="仿宋_GB2312" w:hAnsi="ˎ̥" w:eastAsia="仿宋_GB2312"/>
          <w:color w:val="FF0000"/>
          <w:sz w:val="32"/>
          <w:szCs w:val="32"/>
          <w:lang w:val="en-US" w:eastAsia="zh-CN"/>
        </w:rPr>
        <w:t>1</w:t>
      </w:r>
      <w:r>
        <w:rPr>
          <w:rFonts w:hint="eastAsia" w:ascii="仿宋_GB2312" w:hAnsi="ˎ̥" w:eastAsia="仿宋_GB2312"/>
          <w:sz w:val="32"/>
          <w:szCs w:val="32"/>
        </w:rPr>
        <w:t>个，包括：</w:t>
      </w:r>
    </w:p>
    <w:p>
      <w:pPr>
        <w:spacing w:line="578" w:lineRule="exact"/>
        <w:ind w:firstLine="640" w:firstLineChars="200"/>
        <w:rPr>
          <w:rFonts w:hint="eastAsia" w:ascii="方正楷体_GBK" w:hAnsi="方正楷体_GBK" w:eastAsia="方正楷体_GBK" w:cs="方正楷体_GBK"/>
          <w:sz w:val="32"/>
          <w:szCs w:val="32"/>
        </w:rPr>
      </w:pPr>
      <w:bookmarkStart w:id="19" w:name="_Toc25738_WPSOffice_Level2"/>
      <w:bookmarkStart w:id="20" w:name="_Toc24421_WPSOffice_Level2"/>
      <w:r>
        <w:rPr>
          <w:rFonts w:hint="eastAsia" w:ascii="方正楷体_GBK" w:hAnsi="方正楷体_GBK" w:eastAsia="方正楷体_GBK" w:cs="方正楷体_GBK"/>
          <w:sz w:val="32"/>
          <w:szCs w:val="32"/>
        </w:rPr>
        <w:t>（一）申扎县人社局机部门本级</w:t>
      </w:r>
      <w:bookmarkEnd w:id="19"/>
      <w:bookmarkEnd w:id="20"/>
    </w:p>
    <w:p>
      <w:pPr>
        <w:spacing w:line="578" w:lineRule="exact"/>
        <w:jc w:val="both"/>
        <w:rPr>
          <w:rFonts w:hint="eastAsia" w:ascii="黑体" w:hAnsi="ˎ̥" w:eastAsia="黑体"/>
          <w:sz w:val="32"/>
          <w:szCs w:val="32"/>
          <w:lang w:val="en-US" w:eastAsia="zh-CN"/>
        </w:rPr>
      </w:pPr>
      <w:bookmarkStart w:id="21" w:name="_Toc30690_WPSOffice_Level1"/>
      <w:bookmarkStart w:id="22" w:name="_Toc15521_WPSOffice_Level1"/>
      <w:bookmarkStart w:id="23" w:name="_Toc8164_WPSOffice_Level1"/>
      <w:bookmarkStart w:id="24" w:name="_Toc28253_WPSOffice_Level1"/>
      <w:bookmarkStart w:id="25" w:name="_Toc30451_WPSOffice_Level1"/>
      <w:bookmarkStart w:id="26" w:name="_Toc6234_WPSOffice_Level1"/>
      <w:bookmarkStart w:id="27" w:name="_Toc32472_WPSOffice_Level2"/>
      <w:bookmarkStart w:id="28" w:name="_Toc11518_WPSOffice_Level2"/>
      <w:bookmarkStart w:id="29" w:name="_Toc32695_WPSOffice_Level2"/>
      <w:bookmarkStart w:id="30" w:name="_Toc4029_WPSOffice_Level2"/>
      <w:bookmarkStart w:id="31" w:name="_Toc6211_WPSOffice_Level2"/>
      <w:bookmarkStart w:id="32" w:name="_Toc8867_WPSOffice_Level2"/>
      <w:r>
        <w:rPr>
          <w:rFonts w:hint="eastAsia" w:ascii="黑体" w:hAnsi="ˎ̥" w:eastAsia="黑体"/>
          <w:sz w:val="32"/>
          <w:szCs w:val="32"/>
          <w:lang w:val="en-US" w:eastAsia="zh-CN"/>
        </w:rPr>
        <w:t xml:space="preserve">          是基层预算单位，无下属单位，无内设机构</w:t>
      </w:r>
    </w:p>
    <w:p>
      <w:pPr>
        <w:spacing w:line="578" w:lineRule="exact"/>
        <w:jc w:val="both"/>
        <w:rPr>
          <w:rFonts w:hint="default" w:ascii="黑体" w:hAnsi="ˎ̥" w:eastAsia="黑体"/>
          <w:sz w:val="32"/>
          <w:szCs w:val="32"/>
          <w:lang w:val="en-US" w:eastAsia="zh-CN"/>
        </w:rPr>
      </w:pPr>
    </w:p>
    <w:p>
      <w:pPr>
        <w:spacing w:line="578" w:lineRule="exact"/>
        <w:jc w:val="center"/>
        <w:rPr>
          <w:rFonts w:hint="eastAsia" w:ascii="黑体" w:hAnsi="ˎ̥" w:eastAsia="黑体"/>
          <w:sz w:val="32"/>
          <w:szCs w:val="32"/>
        </w:rPr>
      </w:pPr>
      <w:r>
        <w:rPr>
          <w:rFonts w:hint="eastAsia" w:ascii="黑体" w:hAnsi="ˎ̥" w:eastAsia="黑体"/>
          <w:sz w:val="32"/>
          <w:szCs w:val="32"/>
        </w:rPr>
        <w:t xml:space="preserve">第二部分  </w:t>
      </w:r>
      <w:r>
        <w:rPr>
          <w:rFonts w:hint="default" w:ascii="黑体" w:hAnsi="ˎ̥" w:eastAsia="黑体"/>
          <w:sz w:val="32"/>
          <w:szCs w:val="32"/>
          <w:lang w:val="en-US"/>
        </w:rPr>
        <w:t>2024</w:t>
      </w:r>
      <w:r>
        <w:rPr>
          <w:rFonts w:hint="eastAsia" w:ascii="黑体" w:hAnsi="ˎ̥" w:eastAsia="黑体"/>
          <w:sz w:val="32"/>
          <w:szCs w:val="32"/>
        </w:rPr>
        <w:t>年度部门决算公开报表</w:t>
      </w:r>
      <w:bookmarkEnd w:id="21"/>
      <w:bookmarkEnd w:id="22"/>
      <w:bookmarkEnd w:id="23"/>
      <w:bookmarkEnd w:id="24"/>
      <w:bookmarkEnd w:id="25"/>
      <w:bookmarkEnd w:id="26"/>
    </w:p>
    <w:p>
      <w:pPr>
        <w:spacing w:line="578" w:lineRule="exact"/>
        <w:ind w:firstLine="645"/>
        <w:rPr>
          <w:rFonts w:hint="eastAsia" w:ascii="黑体" w:hAnsi="黑体" w:eastAsia="黑体" w:cs="黑体"/>
          <w:sz w:val="32"/>
          <w:szCs w:val="32"/>
        </w:rPr>
      </w:pPr>
    </w:p>
    <w:p>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一、收入支出决算公开表</w:t>
      </w:r>
      <w:bookmarkEnd w:id="27"/>
      <w:bookmarkEnd w:id="28"/>
      <w:bookmarkEnd w:id="29"/>
      <w:bookmarkEnd w:id="30"/>
      <w:bookmarkEnd w:id="31"/>
      <w:bookmarkEnd w:id="32"/>
    </w:p>
    <w:p>
      <w:pPr>
        <w:spacing w:line="578" w:lineRule="exact"/>
        <w:ind w:firstLine="645"/>
        <w:rPr>
          <w:rFonts w:hint="eastAsia" w:ascii="黑体" w:hAnsi="黑体" w:eastAsia="黑体" w:cs="黑体"/>
          <w:sz w:val="32"/>
          <w:szCs w:val="32"/>
        </w:rPr>
      </w:pPr>
      <w:bookmarkStart w:id="33" w:name="_Toc26621_WPSOffice_Level2"/>
      <w:bookmarkStart w:id="34" w:name="_Toc30334_WPSOffice_Level2"/>
      <w:bookmarkStart w:id="35" w:name="_Toc23139_WPSOffice_Level2"/>
      <w:bookmarkStart w:id="36" w:name="_Toc28622_WPSOffice_Level2"/>
      <w:bookmarkStart w:id="37" w:name="_Toc25608_WPSOffice_Level2"/>
      <w:bookmarkStart w:id="38" w:name="_Toc14349_WPSOffice_Level2"/>
      <w:r>
        <w:rPr>
          <w:rFonts w:hint="eastAsia" w:ascii="黑体" w:hAnsi="黑体" w:eastAsia="黑体" w:cs="黑体"/>
          <w:sz w:val="32"/>
          <w:szCs w:val="32"/>
        </w:rPr>
        <w:t>二、收入决算公开表</w:t>
      </w:r>
      <w:bookmarkEnd w:id="33"/>
      <w:bookmarkEnd w:id="34"/>
      <w:bookmarkEnd w:id="35"/>
      <w:bookmarkEnd w:id="36"/>
      <w:bookmarkEnd w:id="37"/>
      <w:bookmarkEnd w:id="38"/>
      <w:bookmarkStart w:id="39" w:name="_Toc14658_WPSOffice_Level2"/>
      <w:bookmarkStart w:id="40" w:name="_Toc3262_WPSOffice_Level2"/>
      <w:bookmarkStart w:id="41" w:name="_Toc17858_WPSOffice_Level2"/>
      <w:bookmarkStart w:id="42" w:name="_Toc5489_WPSOffice_Level2"/>
      <w:bookmarkStart w:id="43" w:name="_Toc17626_WPSOffice_Level2"/>
      <w:bookmarkStart w:id="44" w:name="_Toc13854_WPSOffice_Level2"/>
    </w:p>
    <w:p>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三、支出决算公开表</w:t>
      </w:r>
      <w:bookmarkEnd w:id="39"/>
      <w:bookmarkEnd w:id="40"/>
      <w:bookmarkEnd w:id="41"/>
      <w:bookmarkEnd w:id="42"/>
      <w:bookmarkEnd w:id="43"/>
      <w:bookmarkEnd w:id="44"/>
      <w:bookmarkStart w:id="45" w:name="_Toc4265_WPSOffice_Level2"/>
      <w:bookmarkStart w:id="46" w:name="_Toc21415_WPSOffice_Level2"/>
      <w:bookmarkStart w:id="47" w:name="_Toc7988_WPSOffice_Level2"/>
      <w:bookmarkStart w:id="48" w:name="_Toc13701_WPSOffice_Level2"/>
      <w:bookmarkStart w:id="49" w:name="_Toc23493_WPSOffice_Level2"/>
      <w:bookmarkStart w:id="50" w:name="_Toc23591_WPSOffice_Level2"/>
    </w:p>
    <w:p>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四、财政拨款收入支出决算公开表</w:t>
      </w:r>
      <w:bookmarkEnd w:id="45"/>
      <w:bookmarkEnd w:id="46"/>
      <w:bookmarkEnd w:id="47"/>
      <w:bookmarkEnd w:id="48"/>
      <w:bookmarkEnd w:id="49"/>
      <w:bookmarkEnd w:id="50"/>
    </w:p>
    <w:p>
      <w:pPr>
        <w:spacing w:line="578" w:lineRule="exact"/>
        <w:ind w:firstLine="645"/>
        <w:rPr>
          <w:rFonts w:hint="eastAsia" w:ascii="黑体" w:hAnsi="黑体" w:eastAsia="黑体" w:cs="黑体"/>
          <w:sz w:val="32"/>
          <w:szCs w:val="32"/>
        </w:rPr>
      </w:pPr>
      <w:bookmarkStart w:id="51" w:name="_Toc23829_WPSOffice_Level2"/>
      <w:bookmarkStart w:id="52" w:name="_Toc22783_WPSOffice_Level2"/>
      <w:bookmarkStart w:id="53" w:name="_Toc25166_WPSOffice_Level2"/>
      <w:bookmarkStart w:id="54" w:name="_Toc7879_WPSOffice_Level2"/>
      <w:bookmarkStart w:id="55" w:name="_Toc13516_WPSOffice_Level2"/>
      <w:bookmarkStart w:id="56" w:name="_Toc2158_WPSOffice_Level2"/>
      <w:r>
        <w:rPr>
          <w:rFonts w:hint="eastAsia" w:ascii="黑体" w:hAnsi="黑体" w:eastAsia="黑体" w:cs="黑体"/>
          <w:sz w:val="32"/>
          <w:szCs w:val="32"/>
        </w:rPr>
        <w:t>五、一般公共预算财政拨款收入支出决算</w:t>
      </w:r>
      <w:bookmarkEnd w:id="51"/>
      <w:bookmarkEnd w:id="52"/>
      <w:bookmarkEnd w:id="53"/>
      <w:bookmarkEnd w:id="54"/>
      <w:r>
        <w:rPr>
          <w:rFonts w:hint="eastAsia" w:ascii="黑体" w:hAnsi="黑体" w:eastAsia="黑体" w:cs="黑体"/>
          <w:sz w:val="32"/>
          <w:szCs w:val="32"/>
        </w:rPr>
        <w:t>公开表</w:t>
      </w:r>
      <w:bookmarkEnd w:id="55"/>
      <w:bookmarkEnd w:id="56"/>
      <w:bookmarkStart w:id="57" w:name="_Toc17283_WPSOffice_Level2"/>
      <w:bookmarkStart w:id="58" w:name="_Toc8373_WPSOffice_Level2"/>
      <w:bookmarkStart w:id="59" w:name="_Toc2632_WPSOffice_Level2"/>
      <w:bookmarkStart w:id="60" w:name="_Toc25362_WPSOffice_Level2"/>
      <w:bookmarkStart w:id="61" w:name="_Toc17833_WPSOffice_Level2"/>
      <w:bookmarkStart w:id="62" w:name="_Toc5343_WPSOffice_Level2"/>
    </w:p>
    <w:p>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六、一般公共预算财政拨款基本支出决算</w:t>
      </w:r>
      <w:bookmarkEnd w:id="57"/>
      <w:bookmarkEnd w:id="58"/>
      <w:bookmarkEnd w:id="59"/>
      <w:bookmarkEnd w:id="60"/>
      <w:bookmarkEnd w:id="61"/>
      <w:bookmarkEnd w:id="62"/>
      <w:r>
        <w:rPr>
          <w:rFonts w:hint="eastAsia" w:ascii="黑体" w:hAnsi="黑体" w:eastAsia="黑体" w:cs="黑体"/>
          <w:sz w:val="32"/>
          <w:szCs w:val="32"/>
        </w:rPr>
        <w:t>公开表</w:t>
      </w:r>
    </w:p>
    <w:p>
      <w:pPr>
        <w:spacing w:line="578" w:lineRule="exact"/>
        <w:ind w:left="1118" w:leftChars="304" w:hanging="480" w:hangingChars="150"/>
        <w:rPr>
          <w:rFonts w:hint="eastAsia" w:ascii="黑体" w:hAnsi="黑体" w:eastAsia="黑体" w:cs="黑体"/>
          <w:sz w:val="32"/>
          <w:szCs w:val="32"/>
        </w:rPr>
      </w:pPr>
      <w:bookmarkStart w:id="63" w:name="_Toc11799_WPSOffice_Level2"/>
      <w:bookmarkStart w:id="64" w:name="_Toc13345_WPSOffice_Level2"/>
      <w:bookmarkStart w:id="65" w:name="_Toc6020_WPSOffice_Level2"/>
      <w:bookmarkStart w:id="66" w:name="_Toc5594_WPSOffice_Level2"/>
      <w:bookmarkStart w:id="67" w:name="_Toc21310_WPSOffice_Level2"/>
      <w:bookmarkStart w:id="68" w:name="_Toc1533_WPSOffice_Level2"/>
      <w:r>
        <w:rPr>
          <w:rFonts w:hint="eastAsia" w:ascii="黑体" w:hAnsi="黑体" w:eastAsia="黑体" w:cs="黑体"/>
          <w:sz w:val="32"/>
          <w:szCs w:val="32"/>
        </w:rPr>
        <w:t>七、政府性基金预算财政拨款收入支出决算</w:t>
      </w:r>
      <w:bookmarkEnd w:id="63"/>
      <w:bookmarkEnd w:id="64"/>
      <w:bookmarkEnd w:id="65"/>
      <w:bookmarkEnd w:id="66"/>
      <w:bookmarkEnd w:id="67"/>
      <w:bookmarkEnd w:id="68"/>
      <w:r>
        <w:rPr>
          <w:rFonts w:hint="eastAsia" w:ascii="黑体" w:hAnsi="黑体" w:eastAsia="黑体" w:cs="黑体"/>
          <w:sz w:val="32"/>
          <w:szCs w:val="32"/>
        </w:rPr>
        <w:t>公开表</w:t>
      </w:r>
    </w:p>
    <w:p>
      <w:pPr>
        <w:spacing w:line="578" w:lineRule="exact"/>
        <w:ind w:left="1118" w:leftChars="304" w:hanging="480" w:hangingChars="150"/>
        <w:rPr>
          <w:rFonts w:hint="eastAsia" w:ascii="黑体" w:hAnsi="黑体" w:eastAsia="黑体" w:cs="黑体"/>
          <w:sz w:val="32"/>
          <w:szCs w:val="32"/>
        </w:rPr>
      </w:pPr>
      <w:r>
        <w:rPr>
          <w:rFonts w:hint="eastAsia" w:ascii="黑体" w:hAnsi="黑体" w:eastAsia="黑体" w:cs="黑体"/>
          <w:sz w:val="32"/>
          <w:szCs w:val="32"/>
        </w:rPr>
        <w:t>八、国有资本经营预算财政拨款收入支出决算公开表</w:t>
      </w:r>
    </w:p>
    <w:p>
      <w:pPr>
        <w:spacing w:line="578" w:lineRule="exact"/>
        <w:ind w:firstLine="640"/>
        <w:rPr>
          <w:rFonts w:hint="eastAsia" w:ascii="黑体" w:hAnsi="黑体" w:eastAsia="黑体" w:cs="黑体"/>
          <w:sz w:val="32"/>
          <w:szCs w:val="32"/>
        </w:rPr>
      </w:pPr>
      <w:bookmarkStart w:id="69" w:name="_Toc19961_WPSOffice_Level2"/>
      <w:bookmarkStart w:id="70" w:name="_Toc1820_WPSOffice_Level2"/>
      <w:bookmarkStart w:id="71" w:name="_Toc9377_WPSOffice_Level2"/>
      <w:bookmarkStart w:id="72" w:name="_Toc29886_WPSOffice_Level2"/>
      <w:r>
        <w:rPr>
          <w:rFonts w:hint="eastAsia" w:ascii="黑体" w:hAnsi="黑体" w:eastAsia="黑体" w:cs="黑体"/>
          <w:sz w:val="32"/>
          <w:szCs w:val="32"/>
        </w:rPr>
        <w:t>九、财政拨款“三公”经费支出决算</w:t>
      </w:r>
      <w:bookmarkEnd w:id="69"/>
      <w:bookmarkEnd w:id="70"/>
      <w:bookmarkEnd w:id="71"/>
      <w:bookmarkEnd w:id="72"/>
      <w:r>
        <w:rPr>
          <w:rFonts w:hint="eastAsia" w:ascii="黑体" w:hAnsi="黑体" w:eastAsia="黑体" w:cs="黑体"/>
          <w:sz w:val="32"/>
          <w:szCs w:val="32"/>
        </w:rPr>
        <w:t>公开表</w:t>
      </w:r>
    </w:p>
    <w:p>
      <w:pPr>
        <w:spacing w:line="578" w:lineRule="exact"/>
        <w:ind w:firstLine="640"/>
        <w:rPr>
          <w:rFonts w:hint="eastAsia" w:ascii="仿宋" w:hAnsi="仿宋" w:eastAsia="仿宋" w:cs="仿宋"/>
          <w:w w:val="100"/>
          <w:sz w:val="32"/>
          <w:szCs w:val="32"/>
        </w:rPr>
      </w:pPr>
      <w:r>
        <w:rPr>
          <w:rFonts w:hint="eastAsia" w:ascii="仿宋" w:hAnsi="仿宋" w:eastAsia="仿宋" w:cs="仿宋"/>
          <w:w w:val="100"/>
          <w:sz w:val="32"/>
          <w:szCs w:val="32"/>
        </w:rPr>
        <w:t xml:space="preserve">以上报表见附件1。   </w:t>
      </w:r>
    </w:p>
    <w:p>
      <w:pPr>
        <w:spacing w:line="578" w:lineRule="exact"/>
        <w:rPr>
          <w:rFonts w:hint="eastAsia" w:ascii="黑体" w:hAnsi="黑体" w:eastAsia="黑体" w:cs="黑体"/>
          <w:sz w:val="32"/>
          <w:szCs w:val="32"/>
        </w:rPr>
      </w:pPr>
    </w:p>
    <w:p>
      <w:pPr>
        <w:spacing w:line="578" w:lineRule="exact"/>
        <w:jc w:val="center"/>
        <w:rPr>
          <w:rFonts w:hint="eastAsia" w:ascii="黑体" w:hAnsi="ˎ̥" w:eastAsia="黑体"/>
          <w:sz w:val="32"/>
          <w:szCs w:val="32"/>
        </w:rPr>
      </w:pPr>
      <w:bookmarkStart w:id="73" w:name="_Toc31264_WPSOffice_Level1"/>
      <w:bookmarkStart w:id="74" w:name="_Toc28629_WPSOffice_Level1"/>
      <w:bookmarkStart w:id="75" w:name="_Toc4402_WPSOffice_Level1"/>
      <w:bookmarkStart w:id="76" w:name="_Toc27590_WPSOffice_Level1"/>
      <w:bookmarkStart w:id="77" w:name="_Toc29683_WPSOffice_Level1"/>
      <w:bookmarkStart w:id="78" w:name="_Toc16686_WPSOffice_Level1"/>
      <w:r>
        <w:rPr>
          <w:rFonts w:hint="eastAsia" w:ascii="黑体" w:hAnsi="ˎ̥" w:eastAsia="黑体"/>
          <w:sz w:val="32"/>
          <w:szCs w:val="32"/>
        </w:rPr>
        <w:t xml:space="preserve">第三部分  </w:t>
      </w:r>
      <w:r>
        <w:rPr>
          <w:rFonts w:hint="default" w:ascii="黑体" w:hAnsi="ˎ̥" w:eastAsia="黑体"/>
          <w:sz w:val="32"/>
          <w:szCs w:val="32"/>
          <w:lang w:val="en-US"/>
        </w:rPr>
        <w:t>2024</w:t>
      </w:r>
      <w:r>
        <w:rPr>
          <w:rFonts w:hint="eastAsia" w:ascii="黑体" w:hAnsi="ˎ̥" w:eastAsia="黑体"/>
          <w:sz w:val="32"/>
          <w:szCs w:val="32"/>
        </w:rPr>
        <w:t>年度部门决算情况说明</w:t>
      </w:r>
      <w:bookmarkEnd w:id="73"/>
      <w:bookmarkEnd w:id="74"/>
      <w:bookmarkEnd w:id="75"/>
      <w:bookmarkEnd w:id="76"/>
      <w:bookmarkEnd w:id="77"/>
      <w:bookmarkEnd w:id="78"/>
    </w:p>
    <w:p>
      <w:pPr>
        <w:spacing w:line="578" w:lineRule="exact"/>
        <w:jc w:val="center"/>
        <w:rPr>
          <w:rFonts w:hint="eastAsia" w:ascii="黑体" w:hAnsi="ˎ̥" w:eastAsia="黑体"/>
          <w:sz w:val="32"/>
          <w:szCs w:val="32"/>
        </w:rPr>
      </w:pP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sz w:val="32"/>
          <w:szCs w:val="32"/>
        </w:rPr>
      </w:pPr>
      <w:r>
        <w:rPr>
          <w:rFonts w:hint="eastAsia" w:ascii="黑体" w:hAnsi="黑体" w:eastAsia="黑体" w:cs="黑体"/>
          <w:bCs/>
          <w:sz w:val="32"/>
          <w:szCs w:val="32"/>
        </w:rPr>
        <w:t>一、收入支出总体情况说明</w:t>
      </w:r>
      <w:r>
        <w:rPr>
          <w:rFonts w:hint="eastAsia" w:ascii="黑体" w:hAnsi="黑体" w:eastAsia="黑体" w:cs="黑体"/>
          <w:bCs/>
          <w:sz w:val="32"/>
          <w:szCs w:val="32"/>
        </w:rPr>
        <w:br w:type="textWrapping"/>
      </w:r>
      <w:r>
        <w:rPr>
          <w:rFonts w:hint="eastAsia" w:ascii="楷体_GB2312" w:hAnsi="ˎ̥" w:eastAsia="楷体_GB2312"/>
          <w:sz w:val="32"/>
          <w:szCs w:val="32"/>
        </w:rPr>
        <w:t xml:space="preserve">    </w:t>
      </w:r>
      <w:r>
        <w:rPr>
          <w:rFonts w:hint="default" w:ascii="仿宋_GB2312" w:hAnsi="ˎ̥" w:eastAsia="仿宋_GB2312"/>
          <w:sz w:val="32"/>
          <w:szCs w:val="32"/>
          <w:lang w:val="en-US"/>
        </w:rPr>
        <w:t>2024</w:t>
      </w:r>
      <w:r>
        <w:rPr>
          <w:rFonts w:hint="eastAsia" w:ascii="仿宋_GB2312" w:hAnsi="ˎ̥" w:eastAsia="仿宋_GB2312"/>
          <w:sz w:val="32"/>
          <w:szCs w:val="32"/>
        </w:rPr>
        <w:t>年度收入总计</w:t>
      </w:r>
      <w:r>
        <w:rPr>
          <w:rFonts w:hint="default" w:ascii="仿宋_GB2312" w:hAnsi="ˎ̥" w:eastAsia="仿宋_GB2312"/>
          <w:color w:val="FF0000"/>
          <w:sz w:val="32"/>
          <w:szCs w:val="32"/>
          <w:lang w:val="en-US"/>
        </w:rPr>
        <w:t>7,851.81</w:t>
      </w:r>
      <w:r>
        <w:rPr>
          <w:rFonts w:hint="eastAsia" w:ascii="仿宋_GB2312" w:hAnsi="ˎ̥" w:eastAsia="仿宋_GB2312"/>
          <w:sz w:val="32"/>
          <w:szCs w:val="32"/>
        </w:rPr>
        <w:t>万元，支出总计</w:t>
      </w:r>
      <w:r>
        <w:rPr>
          <w:rFonts w:hint="default" w:ascii="仿宋_GB2312" w:hAnsi="ˎ̥" w:eastAsia="仿宋_GB2312"/>
          <w:color w:val="FF0000"/>
          <w:sz w:val="32"/>
          <w:szCs w:val="32"/>
          <w:lang w:val="en-US"/>
        </w:rPr>
        <w:t>7,851.81</w:t>
      </w:r>
      <w:r>
        <w:rPr>
          <w:rFonts w:hint="eastAsia" w:ascii="仿宋_GB2312" w:hAnsi="ˎ̥" w:eastAsia="仿宋_GB2312"/>
          <w:sz w:val="32"/>
          <w:szCs w:val="32"/>
        </w:rPr>
        <w:t>万元，与</w:t>
      </w:r>
      <w:r>
        <w:rPr>
          <w:rFonts w:hint="default" w:ascii="仿宋_GB2312" w:hAnsi="ˎ̥" w:eastAsia="仿宋_GB2312"/>
          <w:sz w:val="32"/>
          <w:szCs w:val="32"/>
          <w:lang w:val="en-US"/>
        </w:rPr>
        <w:t>2023</w:t>
      </w:r>
      <w:r>
        <w:rPr>
          <w:rFonts w:hint="eastAsia" w:ascii="仿宋_GB2312" w:hAnsi="ˎ̥" w:eastAsia="仿宋_GB2312"/>
          <w:sz w:val="32"/>
          <w:szCs w:val="32"/>
        </w:rPr>
        <w:t>年度相比，收入、支出总计各增加</w:t>
      </w:r>
      <w:r>
        <w:rPr>
          <w:rFonts w:hint="eastAsia" w:ascii="仿宋_GB2312" w:hAnsi="ˎ̥" w:eastAsia="仿宋_GB2312"/>
          <w:color w:val="FF0000"/>
          <w:sz w:val="32"/>
          <w:szCs w:val="32"/>
          <w:lang w:val="en-US" w:eastAsia="zh-CN"/>
        </w:rPr>
        <w:t>6351.46</w:t>
      </w:r>
      <w:r>
        <w:rPr>
          <w:rFonts w:hint="eastAsia" w:ascii="仿宋_GB2312" w:hAnsi="ˎ̥" w:eastAsia="仿宋_GB2312"/>
          <w:sz w:val="32"/>
          <w:szCs w:val="32"/>
        </w:rPr>
        <w:t>万元，增长</w:t>
      </w:r>
      <w:r>
        <w:rPr>
          <w:rFonts w:hint="eastAsia" w:ascii="仿宋_GB2312" w:hAnsi="ˎ̥" w:eastAsia="仿宋_GB2312"/>
          <w:color w:val="FF0000"/>
          <w:sz w:val="32"/>
          <w:szCs w:val="32"/>
          <w:lang w:val="en-US" w:eastAsia="zh-CN"/>
        </w:rPr>
        <w:t>423.33</w:t>
      </w:r>
      <w:r>
        <w:rPr>
          <w:rFonts w:hint="eastAsia" w:ascii="仿宋_GB2312" w:hAnsi="ˎ̥" w:eastAsia="仿宋_GB2312"/>
          <w:sz w:val="32"/>
          <w:szCs w:val="32"/>
        </w:rPr>
        <w:t>%。主要原因：一是</w:t>
      </w:r>
      <w:r>
        <w:rPr>
          <w:rFonts w:hint="eastAsia" w:ascii="仿宋_GB2312" w:hAnsi="ˎ̥" w:eastAsia="仿宋_GB2312"/>
          <w:sz w:val="32"/>
          <w:szCs w:val="32"/>
          <w:lang w:val="en-US" w:eastAsia="zh-CN"/>
        </w:rPr>
        <w:t>单位预算项目增加，主要是原医保局与人社局进行单位合并，且单位资金合并</w:t>
      </w:r>
      <w:r>
        <w:rPr>
          <w:rFonts w:hint="eastAsia" w:ascii="仿宋_GB2312" w:hAnsi="ˎ̥" w:eastAsia="仿宋_GB2312"/>
          <w:sz w:val="32"/>
          <w:szCs w:val="32"/>
        </w:rPr>
        <w:t>；二是</w:t>
      </w:r>
      <w:r>
        <w:rPr>
          <w:rFonts w:hint="eastAsia" w:ascii="仿宋_GB2312" w:hAnsi="ˎ̥" w:eastAsia="仿宋_GB2312"/>
          <w:sz w:val="32"/>
          <w:szCs w:val="32"/>
          <w:lang w:val="en-US" w:eastAsia="zh-CN"/>
        </w:rPr>
        <w:t>人员增加</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楷体" w:hAnsi="楷体" w:eastAsia="楷体" w:cs="楷体"/>
          <w:sz w:val="32"/>
          <w:szCs w:val="32"/>
        </w:rPr>
      </w:pPr>
      <w:r>
        <w:rPr>
          <w:rFonts w:hint="eastAsia" w:ascii="楷体" w:hAnsi="楷体" w:eastAsia="楷体" w:cs="楷体"/>
          <w:sz w:val="32"/>
          <w:szCs w:val="32"/>
        </w:rPr>
        <w:t>（一</w:t>
      </w:r>
      <w:r>
        <w:rPr>
          <w:rFonts w:ascii="楷体" w:hAnsi="楷体" w:eastAsia="楷体" w:cs="楷体"/>
          <w:sz w:val="32"/>
          <w:szCs w:val="32"/>
        </w:rPr>
        <w:t>）</w:t>
      </w:r>
      <w:r>
        <w:rPr>
          <w:rFonts w:hint="eastAsia" w:ascii="楷体" w:hAnsi="楷体" w:eastAsia="楷体" w:cs="楷体"/>
          <w:sz w:val="32"/>
          <w:szCs w:val="32"/>
        </w:rPr>
        <w:t>收入</w:t>
      </w:r>
      <w:r>
        <w:rPr>
          <w:rFonts w:ascii="楷体" w:hAnsi="楷体" w:eastAsia="楷体" w:cs="楷体"/>
          <w:sz w:val="32"/>
          <w:szCs w:val="32"/>
        </w:rPr>
        <w:t>总计</w:t>
      </w:r>
      <w:r>
        <w:rPr>
          <w:rFonts w:hint="eastAsia" w:ascii="楷体" w:hAnsi="楷体" w:eastAsia="楷体" w:cs="楷体"/>
          <w:sz w:val="32"/>
          <w:szCs w:val="32"/>
        </w:rPr>
        <w:t>主要</w:t>
      </w:r>
      <w:r>
        <w:rPr>
          <w:rFonts w:ascii="楷体" w:hAnsi="楷体" w:eastAsia="楷体" w:cs="楷体"/>
          <w:sz w:val="32"/>
          <w:szCs w:val="32"/>
        </w:rPr>
        <w:t>构成</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sz w:val="32"/>
          <w:szCs w:val="32"/>
        </w:rPr>
      </w:pPr>
      <w:r>
        <w:rPr>
          <w:rFonts w:hint="eastAsia" w:ascii="仿宋_GB2312" w:hAnsi="ˎ̥" w:eastAsia="仿宋_GB2312"/>
          <w:sz w:val="32"/>
          <w:szCs w:val="32"/>
        </w:rPr>
        <w:t>本年</w:t>
      </w:r>
      <w:r>
        <w:rPr>
          <w:rFonts w:ascii="仿宋_GB2312" w:hAnsi="ˎ̥" w:eastAsia="仿宋_GB2312"/>
          <w:sz w:val="32"/>
          <w:szCs w:val="32"/>
        </w:rPr>
        <w:t>收入</w:t>
      </w:r>
      <w:r>
        <w:rPr>
          <w:rFonts w:hint="default" w:ascii="仿宋_GB2312" w:hAnsi="ˎ̥" w:eastAsia="仿宋_GB2312"/>
          <w:color w:val="FF0000"/>
          <w:sz w:val="32"/>
          <w:szCs w:val="32"/>
          <w:lang w:val="en-US"/>
        </w:rPr>
        <w:t>7,777.24</w:t>
      </w:r>
      <w:r>
        <w:rPr>
          <w:rFonts w:hint="eastAsia" w:ascii="仿宋_GB2312" w:hAnsi="ˎ̥" w:eastAsia="仿宋_GB2312"/>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lang w:eastAsia="zh-CN"/>
        </w:rPr>
      </w:pPr>
      <w:r>
        <w:rPr>
          <w:rFonts w:hint="eastAsia" w:ascii="仿宋_GB2312" w:hAnsi="ˎ̥" w:eastAsia="仿宋_GB2312"/>
          <w:sz w:val="32"/>
          <w:szCs w:val="32"/>
        </w:rPr>
        <w:t>使用非财政拨款结余</w:t>
      </w:r>
      <w:r>
        <w:rPr>
          <w:rFonts w:hint="default" w:ascii="仿宋_GB2312" w:hAnsi="ˎ̥" w:eastAsia="仿宋_GB2312"/>
          <w:color w:val="FF0000"/>
          <w:sz w:val="32"/>
          <w:szCs w:val="32"/>
          <w:lang w:val="en-US"/>
        </w:rPr>
        <w:t>0.00</w:t>
      </w:r>
      <w:r>
        <w:rPr>
          <w:rFonts w:hint="eastAsia" w:ascii="仿宋_GB2312" w:hAnsi="ˎ̥" w:eastAsia="仿宋_GB2312"/>
          <w:sz w:val="32"/>
          <w:szCs w:val="32"/>
        </w:rPr>
        <w:t>万元</w:t>
      </w:r>
      <w:r>
        <w:rPr>
          <w:rFonts w:hint="eastAsia" w:ascii="仿宋_GB2312" w:hAnsi="ˎ̥" w:eastAsia="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sz w:val="32"/>
          <w:szCs w:val="32"/>
        </w:rPr>
      </w:pPr>
      <w:r>
        <w:rPr>
          <w:rFonts w:hint="eastAsia" w:ascii="仿宋_GB2312" w:hAnsi="ˎ̥" w:eastAsia="仿宋_GB2312"/>
          <w:sz w:val="32"/>
          <w:szCs w:val="32"/>
        </w:rPr>
        <w:t>年初结转结余</w:t>
      </w:r>
      <w:r>
        <w:rPr>
          <w:rFonts w:hint="default" w:ascii="仿宋_GB2312" w:hAnsi="ˎ̥" w:eastAsia="仿宋_GB2312"/>
          <w:color w:val="FF0000"/>
          <w:sz w:val="32"/>
          <w:szCs w:val="32"/>
          <w:lang w:val="en-US"/>
        </w:rPr>
        <w:t>74.58</w:t>
      </w:r>
      <w:r>
        <w:rPr>
          <w:rFonts w:hint="eastAsia" w:ascii="仿宋_GB2312" w:hAnsi="ˎ̥" w:eastAsia="仿宋_GB2312"/>
          <w:sz w:val="32"/>
          <w:szCs w:val="32"/>
        </w:rPr>
        <w:t>万元，主要是</w:t>
      </w:r>
      <w:r>
        <w:rPr>
          <w:rFonts w:hint="eastAsia" w:ascii="仿宋_GB2312" w:hAnsi="ˎ̥" w:eastAsia="仿宋_GB2312"/>
          <w:sz w:val="32"/>
          <w:szCs w:val="32"/>
          <w:lang w:val="en-US" w:eastAsia="zh-CN"/>
        </w:rPr>
        <w:t>上年度项目增加未使用完</w:t>
      </w:r>
      <w:r>
        <w:rPr>
          <w:rFonts w:hint="eastAsia" w:ascii="仿宋_GB2312" w:hAnsi="ˎ̥" w:eastAsia="仿宋_GB2312"/>
          <w:sz w:val="32"/>
          <w:szCs w:val="32"/>
        </w:rPr>
        <w:t>，较</w:t>
      </w:r>
      <w:r>
        <w:rPr>
          <w:rFonts w:hint="default" w:ascii="仿宋_GB2312" w:hAnsi="ˎ̥" w:eastAsia="仿宋_GB2312"/>
          <w:sz w:val="32"/>
          <w:szCs w:val="32"/>
          <w:lang w:val="en-US"/>
        </w:rPr>
        <w:t>2023</w:t>
      </w:r>
      <w:r>
        <w:rPr>
          <w:rFonts w:hint="eastAsia" w:ascii="仿宋_GB2312" w:hAnsi="ˎ̥" w:eastAsia="仿宋_GB2312"/>
          <w:sz w:val="32"/>
          <w:szCs w:val="32"/>
        </w:rPr>
        <w:t>年度决算数减少</w:t>
      </w:r>
      <w:r>
        <w:rPr>
          <w:rFonts w:hint="eastAsia" w:ascii="仿宋_GB2312" w:hAnsi="ˎ̥" w:eastAsia="仿宋_GB2312"/>
          <w:color w:val="FF0000"/>
          <w:sz w:val="32"/>
          <w:szCs w:val="32"/>
          <w:lang w:val="en-US" w:eastAsia="zh-CN"/>
        </w:rPr>
        <w:t>162.29</w:t>
      </w:r>
      <w:r>
        <w:rPr>
          <w:rFonts w:hint="eastAsia" w:ascii="仿宋_GB2312" w:hAnsi="ˎ̥" w:eastAsia="仿宋_GB2312"/>
          <w:sz w:val="32"/>
          <w:szCs w:val="32"/>
        </w:rPr>
        <w:t>万元，（下降）</w:t>
      </w:r>
      <w:r>
        <w:rPr>
          <w:rFonts w:hint="eastAsia" w:ascii="仿宋_GB2312" w:hAnsi="ˎ̥" w:eastAsia="仿宋_GB2312"/>
          <w:color w:val="FF0000"/>
          <w:sz w:val="32"/>
          <w:szCs w:val="32"/>
          <w:lang w:val="en-US" w:eastAsia="zh-CN"/>
        </w:rPr>
        <w:t>68.51</w:t>
      </w:r>
      <w:r>
        <w:rPr>
          <w:rFonts w:hint="eastAsia" w:ascii="仿宋_GB2312" w:hAnsi="ˎ̥" w:eastAsia="仿宋_GB2312"/>
          <w:sz w:val="32"/>
          <w:szCs w:val="32"/>
        </w:rPr>
        <w:t>%，主要原因是</w:t>
      </w:r>
      <w:r>
        <w:rPr>
          <w:rFonts w:hint="eastAsia" w:ascii="仿宋_GB2312" w:hAnsi="ˎ̥" w:eastAsia="仿宋_GB2312"/>
          <w:sz w:val="32"/>
          <w:szCs w:val="32"/>
          <w:lang w:val="en-US" w:eastAsia="zh-CN"/>
        </w:rPr>
        <w:t>2023年支出较多</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lang w:eastAsia="zh-CN"/>
        </w:rPr>
      </w:pPr>
      <w:r>
        <w:rPr>
          <w:rFonts w:hint="eastAsia" w:ascii="楷体" w:hAnsi="楷体" w:eastAsia="楷体" w:cs="楷体"/>
          <w:sz w:val="32"/>
          <w:szCs w:val="32"/>
        </w:rPr>
        <w:t>（二</w:t>
      </w:r>
      <w:r>
        <w:rPr>
          <w:rFonts w:ascii="楷体" w:hAnsi="楷体" w:eastAsia="楷体" w:cs="楷体"/>
          <w:sz w:val="32"/>
          <w:szCs w:val="32"/>
        </w:rPr>
        <w:t>）</w:t>
      </w:r>
      <w:r>
        <w:rPr>
          <w:rFonts w:hint="eastAsia" w:ascii="楷体" w:hAnsi="楷体" w:eastAsia="楷体" w:cs="楷体"/>
          <w:sz w:val="32"/>
          <w:szCs w:val="32"/>
        </w:rPr>
        <w:t>支出</w:t>
      </w:r>
      <w:r>
        <w:rPr>
          <w:rFonts w:ascii="楷体" w:hAnsi="楷体" w:eastAsia="楷体" w:cs="楷体"/>
          <w:sz w:val="32"/>
          <w:szCs w:val="32"/>
        </w:rPr>
        <w:t>总计</w:t>
      </w:r>
      <w:r>
        <w:rPr>
          <w:rFonts w:hint="eastAsia" w:ascii="楷体" w:hAnsi="楷体" w:eastAsia="楷体" w:cs="楷体"/>
          <w:sz w:val="32"/>
          <w:szCs w:val="32"/>
        </w:rPr>
        <w:t>主要</w:t>
      </w:r>
      <w:r>
        <w:rPr>
          <w:rFonts w:ascii="楷体" w:hAnsi="楷体" w:eastAsia="楷体" w:cs="楷体"/>
          <w:sz w:val="32"/>
          <w:szCs w:val="32"/>
        </w:rPr>
        <w:t>构成</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本年支出</w:t>
      </w:r>
      <w:r>
        <w:rPr>
          <w:rFonts w:hint="default" w:ascii="仿宋_GB2312" w:hAnsi="ˎ̥" w:eastAsia="仿宋_GB2312"/>
          <w:color w:val="FF0000"/>
          <w:sz w:val="32"/>
          <w:szCs w:val="32"/>
          <w:lang w:val="en-US"/>
        </w:rPr>
        <w:t>7,851.81</w:t>
      </w:r>
      <w:r>
        <w:rPr>
          <w:rFonts w:hint="eastAsia" w:ascii="仿宋_GB2312" w:hAnsi="ˎ̥" w:eastAsia="仿宋_GB2312"/>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结余分配</w:t>
      </w:r>
      <w:r>
        <w:rPr>
          <w:rFonts w:hint="default" w:ascii="仿宋_GB2312" w:hAnsi="ˎ̥" w:eastAsia="仿宋_GB2312"/>
          <w:color w:val="FF0000"/>
          <w:sz w:val="32"/>
          <w:szCs w:val="32"/>
          <w:lang w:val="en-US"/>
        </w:rPr>
        <w:t>0.00</w:t>
      </w:r>
      <w:r>
        <w:rPr>
          <w:rFonts w:hint="eastAsia" w:ascii="仿宋_GB2312" w:hAnsi="ˎ̥" w:eastAsia="仿宋_GB2312"/>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年末结转结余</w:t>
      </w:r>
      <w:r>
        <w:rPr>
          <w:rFonts w:hint="default" w:ascii="仿宋_GB2312" w:hAnsi="ˎ̥" w:eastAsia="仿宋_GB2312"/>
          <w:color w:val="FF0000"/>
          <w:sz w:val="32"/>
          <w:szCs w:val="32"/>
          <w:lang w:val="en-US"/>
        </w:rPr>
        <w:t>0.00</w:t>
      </w:r>
      <w:r>
        <w:rPr>
          <w:rFonts w:hint="eastAsia" w:ascii="仿宋_GB2312" w:hAnsi="ˎ̥" w:eastAsia="仿宋_GB2312"/>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lang w:eastAsia="zh-CN"/>
        </w:rPr>
      </w:pPr>
      <w:r>
        <w:rPr>
          <w:rFonts w:hint="eastAsia" w:ascii="黑体" w:hAnsi="黑体" w:eastAsia="黑体" w:cs="黑体"/>
          <w:bCs/>
          <w:sz w:val="32"/>
          <w:szCs w:val="32"/>
        </w:rPr>
        <w:t>二、收入决算情况说明</w:t>
      </w:r>
      <w:r>
        <w:rPr>
          <w:rFonts w:hint="eastAsia" w:ascii="黑体" w:hAnsi="黑体" w:eastAsia="黑体" w:cs="黑体"/>
          <w:bCs/>
          <w:sz w:val="32"/>
          <w:szCs w:val="32"/>
        </w:rPr>
        <w:br w:type="textWrapping"/>
      </w:r>
      <w:r>
        <w:rPr>
          <w:rFonts w:hint="eastAsia" w:ascii="仿宋_GB2312" w:hAnsi="ˎ̥" w:eastAsia="仿宋_GB2312"/>
          <w:sz w:val="32"/>
          <w:szCs w:val="32"/>
        </w:rPr>
        <w:t xml:space="preserve">    本年收入</w:t>
      </w:r>
      <w:r>
        <w:rPr>
          <w:rFonts w:hint="default" w:ascii="仿宋_GB2312" w:hAnsi="ˎ̥" w:eastAsia="仿宋_GB2312"/>
          <w:color w:val="FF0000"/>
          <w:sz w:val="32"/>
          <w:szCs w:val="32"/>
          <w:lang w:val="en-US"/>
        </w:rPr>
        <w:t>7,777.24</w:t>
      </w:r>
      <w:r>
        <w:rPr>
          <w:rFonts w:hint="eastAsia" w:ascii="仿宋_GB2312" w:hAnsi="ˎ̥" w:eastAsia="仿宋_GB2312"/>
          <w:sz w:val="32"/>
          <w:szCs w:val="32"/>
        </w:rPr>
        <w:t>万元，其中：财政拨款收入</w:t>
      </w:r>
      <w:r>
        <w:rPr>
          <w:rFonts w:hint="default" w:ascii="仿宋_GB2312" w:hAnsi="ˎ̥" w:eastAsia="仿宋_GB2312"/>
          <w:color w:val="FF0000"/>
          <w:sz w:val="32"/>
          <w:szCs w:val="32"/>
          <w:lang w:val="en-US"/>
        </w:rPr>
        <w:t>7,777.24</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100</w:t>
      </w:r>
      <w:r>
        <w:rPr>
          <w:rFonts w:hint="eastAsia" w:ascii="仿宋_GB2312" w:hAnsi="ˎ̥" w:eastAsia="仿宋_GB2312"/>
          <w:sz w:val="32"/>
          <w:szCs w:val="32"/>
        </w:rPr>
        <w:t>%</w:t>
      </w:r>
      <w:r>
        <w:rPr>
          <w:rFonts w:hint="eastAsia" w:ascii="仿宋_GB2312" w:hAnsi="ˎ̥" w:eastAsia="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三、支出决算情况说明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仿宋_GB2312" w:hAnsi="ˎ̥" w:eastAsia="仿宋_GB2312"/>
          <w:sz w:val="32"/>
          <w:szCs w:val="32"/>
        </w:rPr>
      </w:pPr>
      <w:r>
        <w:rPr>
          <w:rFonts w:hint="eastAsia" w:ascii="仿宋_GB2312" w:hAnsi="ˎ̥" w:eastAsia="仿宋_GB2312"/>
          <w:sz w:val="32"/>
          <w:szCs w:val="32"/>
        </w:rPr>
        <w:t>本年支出</w:t>
      </w:r>
      <w:r>
        <w:rPr>
          <w:rFonts w:hint="default" w:ascii="仿宋_GB2312" w:hAnsi="ˎ̥" w:eastAsia="仿宋_GB2312"/>
          <w:color w:val="FF0000"/>
          <w:sz w:val="32"/>
          <w:szCs w:val="32"/>
          <w:lang w:val="en-US"/>
        </w:rPr>
        <w:t>7,851.81</w:t>
      </w:r>
      <w:r>
        <w:rPr>
          <w:rFonts w:hint="eastAsia" w:ascii="仿宋_GB2312" w:hAnsi="ˎ̥" w:eastAsia="仿宋_GB2312"/>
          <w:sz w:val="32"/>
          <w:szCs w:val="32"/>
        </w:rPr>
        <w:t>万元，其中：基本支出</w:t>
      </w:r>
      <w:r>
        <w:rPr>
          <w:rFonts w:hint="default" w:ascii="仿宋_GB2312" w:hAnsi="ˎ̥" w:eastAsia="仿宋_GB2312"/>
          <w:color w:val="FF0000"/>
          <w:sz w:val="32"/>
          <w:szCs w:val="32"/>
          <w:lang w:val="en-US"/>
        </w:rPr>
        <w:t>566.23</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7.21</w:t>
      </w:r>
      <w:r>
        <w:rPr>
          <w:rFonts w:hint="eastAsia" w:ascii="仿宋_GB2312" w:hAnsi="ˎ̥" w:eastAsia="仿宋_GB2312"/>
          <w:sz w:val="32"/>
          <w:szCs w:val="32"/>
        </w:rPr>
        <w:t>%；项目支出</w:t>
      </w:r>
      <w:r>
        <w:rPr>
          <w:rFonts w:hint="default" w:ascii="仿宋_GB2312" w:hAnsi="ˎ̥" w:eastAsia="仿宋_GB2312"/>
          <w:color w:val="FF0000"/>
          <w:sz w:val="32"/>
          <w:szCs w:val="32"/>
          <w:lang w:val="en-US"/>
        </w:rPr>
        <w:t>7,285.58</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92.79</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四、财政拨款收入支出决算总体情况说明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年度财政拨款收入</w:t>
      </w:r>
      <w:r>
        <w:rPr>
          <w:rFonts w:hint="default" w:ascii="仿宋_GB2312" w:hAnsi="ˎ̥" w:eastAsia="仿宋_GB2312"/>
          <w:color w:val="FF0000"/>
          <w:sz w:val="32"/>
          <w:szCs w:val="32"/>
          <w:lang w:val="en-US"/>
        </w:rPr>
        <w:t>7,777.24</w:t>
      </w:r>
      <w:r>
        <w:rPr>
          <w:rFonts w:hint="eastAsia" w:ascii="仿宋_GB2312" w:hAnsi="ˎ̥" w:eastAsia="仿宋_GB2312"/>
          <w:sz w:val="32"/>
          <w:szCs w:val="32"/>
        </w:rPr>
        <w:t>万元，支出</w:t>
      </w:r>
      <w:r>
        <w:rPr>
          <w:rFonts w:hint="default" w:ascii="仿宋_GB2312" w:hAnsi="ˎ̥" w:eastAsia="仿宋_GB2312"/>
          <w:color w:val="FF0000"/>
          <w:sz w:val="32"/>
          <w:szCs w:val="32"/>
          <w:lang w:val="en-US"/>
        </w:rPr>
        <w:t>7,851.81</w:t>
      </w:r>
      <w:r>
        <w:rPr>
          <w:rFonts w:hint="eastAsia" w:ascii="仿宋_GB2312" w:hAnsi="ˎ̥" w:eastAsia="仿宋_GB2312"/>
          <w:sz w:val="32"/>
          <w:szCs w:val="32"/>
        </w:rPr>
        <w:t>万元。与</w:t>
      </w:r>
      <w:r>
        <w:rPr>
          <w:rFonts w:hint="default" w:ascii="仿宋_GB2312" w:hAnsi="ˎ̥" w:eastAsia="仿宋_GB2312"/>
          <w:sz w:val="32"/>
          <w:szCs w:val="32"/>
          <w:lang w:val="en-US"/>
        </w:rPr>
        <w:t>2023</w:t>
      </w:r>
      <w:r>
        <w:rPr>
          <w:rFonts w:hint="eastAsia" w:ascii="仿宋_GB2312" w:hAnsi="ˎ̥" w:eastAsia="仿宋_GB2312"/>
          <w:sz w:val="32"/>
          <w:szCs w:val="32"/>
        </w:rPr>
        <w:t>年度相比，财政拨款收入增加</w:t>
      </w:r>
      <w:r>
        <w:rPr>
          <w:rFonts w:hint="eastAsia" w:ascii="仿宋_GB2312" w:hAnsi="ˎ̥" w:eastAsia="仿宋_GB2312"/>
          <w:color w:val="FF0000"/>
          <w:sz w:val="32"/>
          <w:szCs w:val="32"/>
          <w:lang w:val="en-US" w:eastAsia="zh-CN"/>
        </w:rPr>
        <w:t>6351.46</w:t>
      </w:r>
      <w:r>
        <w:rPr>
          <w:rFonts w:hint="eastAsia" w:ascii="仿宋_GB2312" w:hAnsi="ˎ̥" w:eastAsia="仿宋_GB2312"/>
          <w:sz w:val="32"/>
          <w:szCs w:val="32"/>
        </w:rPr>
        <w:t>万元，增长</w:t>
      </w:r>
      <w:r>
        <w:rPr>
          <w:rFonts w:hint="eastAsia" w:ascii="仿宋_GB2312" w:hAnsi="ˎ̥" w:eastAsia="仿宋_GB2312"/>
          <w:color w:val="FF0000"/>
          <w:sz w:val="32"/>
          <w:szCs w:val="32"/>
          <w:lang w:val="en-US" w:eastAsia="zh-CN"/>
        </w:rPr>
        <w:t>423.33</w:t>
      </w:r>
      <w:r>
        <w:rPr>
          <w:rFonts w:hint="eastAsia" w:ascii="仿宋_GB2312" w:hAnsi="ˎ̥" w:eastAsia="仿宋_GB2312"/>
          <w:sz w:val="32"/>
          <w:szCs w:val="32"/>
        </w:rPr>
        <w:t>%，主要原因：一是</w:t>
      </w:r>
      <w:r>
        <w:rPr>
          <w:rFonts w:hint="eastAsia" w:ascii="仿宋_GB2312" w:hAnsi="ˎ̥" w:eastAsia="仿宋_GB2312"/>
          <w:sz w:val="32"/>
          <w:szCs w:val="32"/>
          <w:lang w:val="en-US" w:eastAsia="zh-CN"/>
        </w:rPr>
        <w:t>单位预算项目增加，主要是原医保局与人社局进行单位合并，且单位资金合并</w:t>
      </w:r>
      <w:r>
        <w:rPr>
          <w:rFonts w:hint="eastAsia" w:ascii="仿宋_GB2312" w:hAnsi="ˎ̥" w:eastAsia="仿宋_GB2312"/>
          <w:sz w:val="32"/>
          <w:szCs w:val="32"/>
        </w:rPr>
        <w:t>；二是</w:t>
      </w:r>
      <w:r>
        <w:rPr>
          <w:rFonts w:hint="eastAsia" w:ascii="仿宋_GB2312" w:hAnsi="ˎ̥" w:eastAsia="仿宋_GB2312"/>
          <w:sz w:val="32"/>
          <w:szCs w:val="32"/>
          <w:lang w:val="en-US" w:eastAsia="zh-CN"/>
        </w:rPr>
        <w:t>人员增加</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sz w:val="32"/>
          <w:szCs w:val="32"/>
        </w:rPr>
      </w:pPr>
      <w:r>
        <w:rPr>
          <w:rFonts w:hint="eastAsia" w:ascii="仿宋_GB2312" w:hAnsi="ˎ̥" w:eastAsia="仿宋_GB2312"/>
          <w:sz w:val="32"/>
          <w:szCs w:val="32"/>
        </w:rPr>
        <w:t>财政拨款年初结转结余</w:t>
      </w:r>
      <w:r>
        <w:rPr>
          <w:rFonts w:hint="default" w:ascii="仿宋_GB2312" w:hAnsi="ˎ̥" w:eastAsia="仿宋_GB2312"/>
          <w:color w:val="FF0000"/>
          <w:sz w:val="32"/>
          <w:szCs w:val="32"/>
          <w:lang w:val="en-US"/>
        </w:rPr>
        <w:t>74.58</w:t>
      </w:r>
      <w:r>
        <w:rPr>
          <w:rFonts w:hint="eastAsia" w:ascii="仿宋_GB2312" w:hAnsi="ˎ̥" w:eastAsia="仿宋_GB2312"/>
          <w:sz w:val="32"/>
          <w:szCs w:val="32"/>
        </w:rPr>
        <w:t>万元，主要是</w:t>
      </w:r>
      <w:r>
        <w:rPr>
          <w:rFonts w:hint="eastAsia" w:ascii="仿宋_GB2312" w:hAnsi="ˎ̥" w:eastAsia="仿宋_GB2312"/>
          <w:sz w:val="32"/>
          <w:szCs w:val="32"/>
          <w:lang w:val="en-US" w:eastAsia="zh-CN"/>
        </w:rPr>
        <w:t>上年项目资金未支付完结</w:t>
      </w:r>
      <w:r>
        <w:rPr>
          <w:rFonts w:hint="eastAsia" w:ascii="仿宋_GB2312" w:hAnsi="ˎ̥" w:eastAsia="仿宋_GB2312"/>
          <w:sz w:val="32"/>
          <w:szCs w:val="32"/>
        </w:rPr>
        <w:t>，较</w:t>
      </w:r>
      <w:r>
        <w:rPr>
          <w:rFonts w:hint="default" w:ascii="仿宋_GB2312" w:hAnsi="ˎ̥" w:eastAsia="仿宋_GB2312"/>
          <w:sz w:val="32"/>
          <w:szCs w:val="32"/>
          <w:lang w:val="en-US"/>
        </w:rPr>
        <w:t>2023</w:t>
      </w:r>
      <w:r>
        <w:rPr>
          <w:rFonts w:hint="eastAsia" w:ascii="仿宋_GB2312" w:hAnsi="ˎ̥" w:eastAsia="仿宋_GB2312"/>
          <w:sz w:val="32"/>
          <w:szCs w:val="32"/>
        </w:rPr>
        <w:t>年度决算数减少</w:t>
      </w:r>
      <w:r>
        <w:rPr>
          <w:rFonts w:hint="eastAsia" w:ascii="仿宋_GB2312" w:hAnsi="ˎ̥" w:eastAsia="仿宋_GB2312"/>
          <w:color w:val="FF0000"/>
          <w:sz w:val="32"/>
          <w:szCs w:val="32"/>
          <w:lang w:val="en-US" w:eastAsia="zh-CN"/>
        </w:rPr>
        <w:t>162.29</w:t>
      </w:r>
      <w:r>
        <w:rPr>
          <w:rFonts w:hint="eastAsia" w:ascii="仿宋_GB2312" w:hAnsi="ˎ̥" w:eastAsia="仿宋_GB2312"/>
          <w:sz w:val="32"/>
          <w:szCs w:val="32"/>
        </w:rPr>
        <w:t>万元，（下降）</w:t>
      </w:r>
      <w:r>
        <w:rPr>
          <w:rFonts w:hint="eastAsia" w:ascii="仿宋_GB2312" w:hAnsi="ˎ̥" w:eastAsia="仿宋_GB2312"/>
          <w:color w:val="FF0000"/>
          <w:sz w:val="32"/>
          <w:szCs w:val="32"/>
          <w:lang w:val="en-US" w:eastAsia="zh-CN"/>
        </w:rPr>
        <w:t>68.51</w:t>
      </w:r>
      <w:r>
        <w:rPr>
          <w:rFonts w:hint="eastAsia" w:ascii="仿宋_GB2312" w:hAnsi="ˎ̥" w:eastAsia="仿宋_GB2312"/>
          <w:sz w:val="32"/>
          <w:szCs w:val="32"/>
        </w:rPr>
        <w:t>%，主要原因是</w:t>
      </w:r>
      <w:r>
        <w:rPr>
          <w:rFonts w:hint="eastAsia" w:ascii="仿宋_GB2312" w:hAnsi="ˎ̥" w:eastAsia="仿宋_GB2312"/>
          <w:sz w:val="32"/>
          <w:szCs w:val="32"/>
          <w:lang w:val="en-US" w:eastAsia="zh-CN"/>
        </w:rPr>
        <w:t>2023年支出较多</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五、一般公共预算财政拨款支出决算情况说明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bookmarkStart w:id="79" w:name="_Toc23005_WPSOffice_Level2"/>
      <w:bookmarkStart w:id="80" w:name="_Toc9989_WPSOffice_Level2"/>
      <w:bookmarkStart w:id="81" w:name="_Toc13694_WPSOffice_Level2"/>
      <w:bookmarkStart w:id="82" w:name="_Toc17398_WPSOffice_Level2"/>
      <w:bookmarkStart w:id="83" w:name="_Toc19665_WPSOffice_Level2"/>
      <w:bookmarkStart w:id="84" w:name="_Toc21737_WPSOffice_Level2"/>
      <w:r>
        <w:rPr>
          <w:rFonts w:hint="eastAsia" w:ascii="楷体" w:hAnsi="楷体" w:eastAsia="楷体" w:cs="楷体"/>
          <w:sz w:val="32"/>
          <w:szCs w:val="32"/>
        </w:rPr>
        <w:t>（一）一般公共预算财政拨款支出决算总体情况</w:t>
      </w:r>
      <w:bookmarkEnd w:id="79"/>
      <w:bookmarkEnd w:id="80"/>
      <w:bookmarkEnd w:id="81"/>
      <w:bookmarkEnd w:id="82"/>
      <w:bookmarkEnd w:id="83"/>
      <w:bookmarkEnd w:id="84"/>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年度一般公共预算财政拨款支出</w:t>
      </w:r>
      <w:r>
        <w:rPr>
          <w:rFonts w:hint="default" w:ascii="仿宋_GB2312" w:hAnsi="ˎ̥" w:eastAsia="仿宋_GB2312"/>
          <w:color w:val="FF0000"/>
          <w:sz w:val="32"/>
          <w:szCs w:val="32"/>
          <w:lang w:val="en-US"/>
        </w:rPr>
        <w:t>7,851.81</w:t>
      </w:r>
      <w:r>
        <w:rPr>
          <w:rFonts w:hint="eastAsia" w:ascii="仿宋_GB2312" w:hAnsi="ˎ̥" w:eastAsia="仿宋_GB2312"/>
          <w:sz w:val="32"/>
          <w:szCs w:val="32"/>
        </w:rPr>
        <w:t>万元，占本年支出合计的</w:t>
      </w:r>
      <w:r>
        <w:rPr>
          <w:rFonts w:hint="eastAsia" w:ascii="仿宋_GB2312" w:hAnsi="ˎ̥" w:eastAsia="仿宋_GB2312"/>
          <w:color w:val="FF0000"/>
          <w:sz w:val="32"/>
          <w:szCs w:val="32"/>
          <w:lang w:val="en-US" w:eastAsia="zh-CN"/>
        </w:rPr>
        <w:t>100</w:t>
      </w:r>
      <w:r>
        <w:rPr>
          <w:rFonts w:hint="eastAsia" w:ascii="仿宋_GB2312" w:hAnsi="ˎ̥" w:eastAsia="仿宋_GB2312"/>
          <w:sz w:val="32"/>
          <w:szCs w:val="32"/>
        </w:rPr>
        <w:t>%。与</w:t>
      </w:r>
      <w:r>
        <w:rPr>
          <w:rFonts w:hint="default" w:ascii="仿宋_GB2312" w:hAnsi="ˎ̥" w:eastAsia="仿宋_GB2312"/>
          <w:sz w:val="32"/>
          <w:szCs w:val="32"/>
          <w:lang w:val="en-US"/>
        </w:rPr>
        <w:t>2023</w:t>
      </w:r>
      <w:r>
        <w:rPr>
          <w:rFonts w:hint="eastAsia" w:ascii="仿宋_GB2312" w:hAnsi="ˎ̥" w:eastAsia="仿宋_GB2312"/>
          <w:sz w:val="32"/>
          <w:szCs w:val="32"/>
        </w:rPr>
        <w:t>年度相比，一般公共预算财政拨款支出增加</w:t>
      </w:r>
      <w:r>
        <w:rPr>
          <w:rFonts w:hint="eastAsia" w:ascii="仿宋_GB2312" w:hAnsi="ˎ̥" w:eastAsia="仿宋_GB2312"/>
          <w:color w:val="FF0000"/>
          <w:sz w:val="32"/>
          <w:szCs w:val="32"/>
          <w:lang w:val="en-US" w:eastAsia="zh-CN"/>
        </w:rPr>
        <w:t>6351.46</w:t>
      </w:r>
      <w:r>
        <w:rPr>
          <w:rFonts w:hint="eastAsia" w:ascii="仿宋_GB2312" w:hAnsi="ˎ̥" w:eastAsia="仿宋_GB2312"/>
          <w:sz w:val="32"/>
          <w:szCs w:val="32"/>
        </w:rPr>
        <w:t>万元，增长</w:t>
      </w:r>
      <w:r>
        <w:rPr>
          <w:rFonts w:hint="eastAsia" w:ascii="仿宋_GB2312" w:hAnsi="ˎ̥" w:eastAsia="仿宋_GB2312"/>
          <w:sz w:val="32"/>
          <w:szCs w:val="32"/>
          <w:lang w:val="en-US" w:eastAsia="zh-CN"/>
        </w:rPr>
        <w:t>423.33</w:t>
      </w:r>
      <w:r>
        <w:rPr>
          <w:rFonts w:hint="eastAsia" w:ascii="仿宋_GB2312" w:hAnsi="ˎ̥" w:eastAsia="仿宋_GB2312"/>
          <w:sz w:val="32"/>
          <w:szCs w:val="32"/>
        </w:rPr>
        <w:t>%，主要原因是一是</w:t>
      </w:r>
      <w:r>
        <w:rPr>
          <w:rFonts w:hint="eastAsia" w:ascii="仿宋_GB2312" w:hAnsi="ˎ̥" w:eastAsia="仿宋_GB2312"/>
          <w:sz w:val="32"/>
          <w:szCs w:val="32"/>
          <w:lang w:val="en-US" w:eastAsia="zh-CN"/>
        </w:rPr>
        <w:t>单位预算项目增加，主要是原医保局与人社局进行单位合并，且单位资金合并</w:t>
      </w:r>
      <w:r>
        <w:rPr>
          <w:rFonts w:hint="eastAsia" w:ascii="仿宋_GB2312" w:hAnsi="ˎ̥" w:eastAsia="仿宋_GB2312"/>
          <w:sz w:val="32"/>
          <w:szCs w:val="32"/>
        </w:rPr>
        <w:t>；二是</w:t>
      </w:r>
      <w:r>
        <w:rPr>
          <w:rFonts w:hint="eastAsia" w:ascii="仿宋_GB2312" w:hAnsi="ˎ̥" w:eastAsia="仿宋_GB2312"/>
          <w:sz w:val="32"/>
          <w:szCs w:val="32"/>
          <w:lang w:val="en-US" w:eastAsia="zh-CN"/>
        </w:rPr>
        <w:t>人员增加</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bookmarkStart w:id="85" w:name="_Toc23864_WPSOffice_Level2"/>
      <w:bookmarkStart w:id="86" w:name="_Toc27767_WPSOffice_Level2"/>
      <w:bookmarkStart w:id="87" w:name="_Toc19075_WPSOffice_Level2"/>
      <w:bookmarkStart w:id="88" w:name="_Toc2711_WPSOffice_Level2"/>
      <w:bookmarkStart w:id="89" w:name="_Toc18793_WPSOffice_Level2"/>
      <w:bookmarkStart w:id="90" w:name="_Toc19535_WPSOffice_Level2"/>
      <w:r>
        <w:rPr>
          <w:rFonts w:hint="eastAsia" w:ascii="楷体" w:hAnsi="楷体" w:eastAsia="楷体" w:cs="楷体"/>
          <w:sz w:val="32"/>
          <w:szCs w:val="32"/>
        </w:rPr>
        <w:t>（二）一般公共预算财政拨款支出决算结构情况</w:t>
      </w:r>
      <w:bookmarkEnd w:id="85"/>
      <w:bookmarkEnd w:id="86"/>
      <w:bookmarkEnd w:id="87"/>
      <w:bookmarkEnd w:id="88"/>
      <w:bookmarkEnd w:id="89"/>
      <w:bookmarkEnd w:id="90"/>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年度一般公共预算财政拨款支出</w:t>
      </w:r>
      <w:r>
        <w:rPr>
          <w:rFonts w:hint="default" w:ascii="仿宋_GB2312" w:hAnsi="ˎ̥" w:eastAsia="仿宋_GB2312"/>
          <w:color w:val="FF0000"/>
          <w:sz w:val="32"/>
          <w:szCs w:val="32"/>
          <w:lang w:val="en-US"/>
        </w:rPr>
        <w:t>7,851.81</w:t>
      </w:r>
      <w:r>
        <w:rPr>
          <w:rFonts w:hint="eastAsia" w:ascii="仿宋_GB2312" w:hAnsi="ˎ̥" w:eastAsia="仿宋_GB2312"/>
          <w:sz w:val="32"/>
          <w:szCs w:val="32"/>
        </w:rPr>
        <w:t>万元，主要用于以下方面：</w:t>
      </w:r>
      <w:r>
        <w:rPr>
          <w:rFonts w:hint="eastAsia" w:ascii="仿宋_GB2312" w:hAnsi="ˎ̥" w:eastAsia="仿宋_GB2312"/>
          <w:b/>
          <w:sz w:val="32"/>
          <w:szCs w:val="32"/>
        </w:rPr>
        <w:t>一般公共服务（类）</w:t>
      </w:r>
      <w:r>
        <w:rPr>
          <w:rFonts w:hint="eastAsia" w:ascii="仿宋_GB2312" w:hAnsi="ˎ̥" w:eastAsia="仿宋_GB2312"/>
          <w:sz w:val="32"/>
          <w:szCs w:val="32"/>
        </w:rPr>
        <w:t>支出</w:t>
      </w:r>
      <w:r>
        <w:rPr>
          <w:rFonts w:hint="eastAsia" w:ascii="仿宋_GB2312" w:hAnsi="ˎ̥" w:eastAsia="仿宋_GB2312"/>
          <w:color w:val="FF0000"/>
          <w:sz w:val="32"/>
          <w:szCs w:val="32"/>
          <w:lang w:val="en-US" w:eastAsia="zh-CN"/>
        </w:rPr>
        <w:t>1.1</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0.14</w:t>
      </w:r>
      <w:r>
        <w:rPr>
          <w:rFonts w:hint="eastAsia" w:ascii="仿宋_GB2312" w:hAnsi="ˎ̥" w:eastAsia="仿宋_GB2312"/>
          <w:sz w:val="32"/>
          <w:szCs w:val="32"/>
        </w:rPr>
        <w:t>%；</w:t>
      </w:r>
      <w:r>
        <w:rPr>
          <w:rFonts w:hint="eastAsia" w:ascii="仿宋_GB2312" w:hAnsi="ˎ̥" w:eastAsia="仿宋_GB2312"/>
          <w:b/>
          <w:sz w:val="32"/>
          <w:szCs w:val="32"/>
        </w:rPr>
        <w:t>社会保障和就业（类）</w:t>
      </w:r>
      <w:r>
        <w:rPr>
          <w:rFonts w:hint="eastAsia" w:ascii="仿宋_GB2312" w:hAnsi="ˎ̥" w:eastAsia="仿宋_GB2312"/>
          <w:sz w:val="32"/>
          <w:szCs w:val="32"/>
        </w:rPr>
        <w:t>支出</w:t>
      </w:r>
      <w:r>
        <w:rPr>
          <w:rFonts w:hint="eastAsia" w:ascii="仿宋_GB2312" w:hAnsi="ˎ̥" w:eastAsia="仿宋_GB2312"/>
          <w:color w:val="FF0000"/>
          <w:sz w:val="32"/>
          <w:szCs w:val="32"/>
          <w:lang w:val="en-US" w:eastAsia="zh-CN"/>
        </w:rPr>
        <w:t>7738.23</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98.55</w:t>
      </w:r>
      <w:r>
        <w:rPr>
          <w:rFonts w:hint="eastAsia" w:ascii="仿宋_GB2312" w:hAnsi="ˎ̥" w:eastAsia="仿宋_GB2312"/>
          <w:sz w:val="32"/>
          <w:szCs w:val="32"/>
        </w:rPr>
        <w:t>%；</w:t>
      </w:r>
      <w:r>
        <w:rPr>
          <w:rFonts w:hint="eastAsia" w:ascii="仿宋_GB2312" w:hAnsi="ˎ̥" w:eastAsia="仿宋_GB2312"/>
          <w:b/>
          <w:bCs/>
          <w:sz w:val="32"/>
          <w:szCs w:val="32"/>
        </w:rPr>
        <w:t>住房保障（类）</w:t>
      </w:r>
      <w:r>
        <w:rPr>
          <w:rFonts w:hint="eastAsia" w:ascii="仿宋_GB2312" w:hAnsi="ˎ̥" w:eastAsia="仿宋_GB2312"/>
          <w:sz w:val="32"/>
          <w:szCs w:val="32"/>
        </w:rPr>
        <w:t>支出</w:t>
      </w:r>
      <w:r>
        <w:rPr>
          <w:rFonts w:hint="eastAsia" w:ascii="仿宋_GB2312" w:hAnsi="ˎ̥" w:eastAsia="仿宋_GB2312"/>
          <w:color w:val="FF0000"/>
          <w:sz w:val="32"/>
          <w:szCs w:val="32"/>
          <w:lang w:val="en-US" w:eastAsia="zh-CN"/>
        </w:rPr>
        <w:t>22.03</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0.28</w:t>
      </w:r>
      <w:r>
        <w:rPr>
          <w:rFonts w:hint="eastAsia" w:ascii="仿宋_GB2312" w:hAnsi="ˎ̥" w:eastAsia="仿宋_GB2312"/>
          <w:sz w:val="32"/>
          <w:szCs w:val="32"/>
        </w:rPr>
        <w:t>%；</w:t>
      </w:r>
      <w:bookmarkStart w:id="91" w:name="_Toc15415_WPSOffice_Level2"/>
      <w:bookmarkStart w:id="92" w:name="_Toc9502_WPSOffice_Level2"/>
      <w:bookmarkStart w:id="93" w:name="_Toc22318_WPSOffice_Level2"/>
      <w:bookmarkStart w:id="94" w:name="_Toc29364_WPSOffice_Level2"/>
      <w:bookmarkStart w:id="95" w:name="_Toc21701_WPSOffice_Level2"/>
      <w:bookmarkStart w:id="96" w:name="_Toc25136_WPSOffice_Level2"/>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（三）一般公共预算财政拨款支出决算具体情况</w:t>
      </w:r>
      <w:bookmarkEnd w:id="91"/>
      <w:bookmarkEnd w:id="92"/>
      <w:bookmarkEnd w:id="93"/>
      <w:bookmarkEnd w:id="94"/>
      <w:bookmarkEnd w:id="95"/>
      <w:bookmarkEnd w:id="96"/>
    </w:p>
    <w:p>
      <w:pPr>
        <w:spacing w:line="578" w:lineRule="exact"/>
        <w:ind w:firstLine="640" w:firstLineChars="200"/>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年度一般公共预算财政拨款支出年初预算为</w:t>
      </w:r>
      <w:r>
        <w:rPr>
          <w:rFonts w:hint="default" w:ascii="仿宋_GB2312" w:hAnsi="ˎ̥" w:eastAsia="仿宋_GB2312"/>
          <w:color w:val="FF0000"/>
          <w:sz w:val="32"/>
          <w:szCs w:val="32"/>
          <w:lang w:val="en-US"/>
        </w:rPr>
        <w:t>7,777.24</w:t>
      </w:r>
      <w:r>
        <w:rPr>
          <w:rFonts w:hint="eastAsia" w:ascii="仿宋_GB2312" w:hAnsi="ˎ̥" w:eastAsia="仿宋_GB2312"/>
          <w:sz w:val="32"/>
          <w:szCs w:val="32"/>
        </w:rPr>
        <w:t>万元，支出决算为</w:t>
      </w:r>
      <w:r>
        <w:rPr>
          <w:rFonts w:hint="default" w:ascii="仿宋_GB2312" w:hAnsi="ˎ̥" w:eastAsia="仿宋_GB2312"/>
          <w:color w:val="FF0000"/>
          <w:sz w:val="32"/>
          <w:szCs w:val="32"/>
          <w:lang w:val="en-US"/>
        </w:rPr>
        <w:t>7,851.81</w:t>
      </w:r>
      <w:r>
        <w:rPr>
          <w:rFonts w:hint="eastAsia" w:ascii="仿宋_GB2312" w:hAnsi="ˎ̥" w:eastAsia="仿宋_GB2312"/>
          <w:sz w:val="32"/>
          <w:szCs w:val="32"/>
        </w:rPr>
        <w:t>万元，完成年初预算的</w:t>
      </w:r>
      <w:r>
        <w:rPr>
          <w:rFonts w:hint="eastAsia" w:ascii="仿宋_GB2312" w:hAnsi="ˎ̥" w:eastAsia="仿宋_GB2312"/>
          <w:color w:val="FF0000"/>
          <w:sz w:val="32"/>
          <w:szCs w:val="32"/>
          <w:lang w:val="en-US" w:eastAsia="zh-CN"/>
        </w:rPr>
        <w:t>100.96</w:t>
      </w:r>
      <w:r>
        <w:rPr>
          <w:rFonts w:hint="eastAsia" w:ascii="仿宋_GB2312" w:hAnsi="ˎ̥" w:eastAsia="仿宋_GB2312"/>
          <w:sz w:val="32"/>
          <w:szCs w:val="32"/>
        </w:rPr>
        <w:t>%。其中：</w:t>
      </w:r>
    </w:p>
    <w:p>
      <w:pPr>
        <w:spacing w:line="578" w:lineRule="exact"/>
        <w:ind w:firstLine="640" w:firstLineChars="200"/>
        <w:rPr>
          <w:rFonts w:hint="eastAsia" w:ascii="仿宋_GB2312" w:hAnsi="ˎ̥" w:eastAsia="仿宋_GB2312"/>
          <w:b/>
          <w:sz w:val="32"/>
          <w:szCs w:val="32"/>
        </w:rPr>
      </w:pPr>
      <w:r>
        <w:rPr>
          <w:rFonts w:hint="eastAsia" w:ascii="仿宋_GB2312" w:hAnsi="ˎ̥" w:eastAsia="仿宋_GB2312"/>
          <w:sz w:val="32"/>
          <w:szCs w:val="32"/>
        </w:rPr>
        <w:t>1.</w:t>
      </w:r>
      <w:r>
        <w:rPr>
          <w:rFonts w:hint="eastAsia" w:ascii="仿宋_GB2312" w:hAnsi="ˎ̥" w:eastAsia="仿宋_GB2312"/>
          <w:b/>
          <w:sz w:val="32"/>
          <w:szCs w:val="32"/>
        </w:rPr>
        <w:t>一般公共服务（类）人大事务（款）行政运行（项）。</w:t>
      </w:r>
    </w:p>
    <w:p>
      <w:pPr>
        <w:spacing w:line="578" w:lineRule="exact"/>
        <w:ind w:firstLine="640" w:firstLineChars="200"/>
        <w:rPr>
          <w:rFonts w:hint="eastAsia" w:ascii="仿宋_GB2312" w:hAnsi="ˎ̥" w:eastAsia="仿宋_GB2312"/>
          <w:sz w:val="32"/>
          <w:szCs w:val="32"/>
          <w:lang w:val="en-US" w:eastAsia="zh-CN"/>
        </w:rPr>
      </w:pPr>
      <w:r>
        <w:rPr>
          <w:rFonts w:hint="eastAsia" w:ascii="仿宋_GB2312" w:hAnsi="ˎ̥" w:eastAsia="仿宋_GB2312"/>
          <w:sz w:val="32"/>
          <w:szCs w:val="32"/>
        </w:rPr>
        <w:t>年初预算为</w:t>
      </w:r>
      <w:r>
        <w:rPr>
          <w:rFonts w:hint="default" w:ascii="仿宋_GB2312" w:hAnsi="ˎ̥" w:eastAsia="仿宋_GB2312"/>
          <w:color w:val="FF0000"/>
          <w:sz w:val="32"/>
          <w:szCs w:val="32"/>
          <w:lang w:val="en-US"/>
        </w:rPr>
        <w:t>7,777.24</w:t>
      </w:r>
      <w:r>
        <w:rPr>
          <w:rFonts w:hint="eastAsia" w:ascii="仿宋_GB2312" w:hAnsi="ˎ̥" w:eastAsia="仿宋_GB2312"/>
          <w:sz w:val="32"/>
          <w:szCs w:val="32"/>
        </w:rPr>
        <w:t>万元，支出决算为</w:t>
      </w:r>
      <w:r>
        <w:rPr>
          <w:rFonts w:hint="default" w:ascii="仿宋_GB2312" w:hAnsi="ˎ̥" w:eastAsia="仿宋_GB2312"/>
          <w:color w:val="FF0000"/>
          <w:sz w:val="32"/>
          <w:szCs w:val="32"/>
          <w:lang w:val="en-US"/>
        </w:rPr>
        <w:t>7,851.81</w:t>
      </w:r>
      <w:r>
        <w:rPr>
          <w:rFonts w:hint="eastAsia" w:ascii="仿宋_GB2312" w:hAnsi="ˎ̥" w:eastAsia="仿宋_GB2312"/>
          <w:sz w:val="32"/>
          <w:szCs w:val="32"/>
        </w:rPr>
        <w:t>万元，完成年初预算的</w:t>
      </w:r>
      <w:r>
        <w:rPr>
          <w:rFonts w:hint="eastAsia" w:ascii="仿宋_GB2312" w:hAnsi="ˎ̥" w:eastAsia="仿宋_GB2312"/>
          <w:color w:val="FF0000"/>
          <w:sz w:val="32"/>
          <w:szCs w:val="32"/>
          <w:lang w:val="en-US" w:eastAsia="zh-CN"/>
        </w:rPr>
        <w:t>100.96</w:t>
      </w:r>
      <w:r>
        <w:rPr>
          <w:rFonts w:hint="eastAsia" w:ascii="仿宋_GB2312" w:hAnsi="ˎ̥" w:eastAsia="仿宋_GB2312"/>
          <w:sz w:val="32"/>
          <w:szCs w:val="32"/>
        </w:rPr>
        <w:t>%。决算数大于预算数的主要原因：一是</w:t>
      </w:r>
      <w:r>
        <w:rPr>
          <w:rFonts w:hint="eastAsia" w:ascii="仿宋_GB2312" w:hAnsi="ˎ̥" w:eastAsia="仿宋_GB2312"/>
          <w:sz w:val="32"/>
          <w:szCs w:val="32"/>
          <w:lang w:val="en-US" w:eastAsia="zh-CN"/>
        </w:rPr>
        <w:t>项目增加年中有追加。</w:t>
      </w:r>
    </w:p>
    <w:p>
      <w:pPr>
        <w:numPr>
          <w:ilvl w:val="0"/>
          <w:numId w:val="2"/>
        </w:numPr>
        <w:spacing w:line="578" w:lineRule="exact"/>
        <w:ind w:firstLine="643" w:firstLineChars="200"/>
        <w:rPr>
          <w:rFonts w:hint="eastAsia" w:ascii="仿宋_GB2312" w:hAnsi="ˎ̥" w:eastAsia="仿宋_GB2312"/>
          <w:b/>
          <w:sz w:val="32"/>
          <w:szCs w:val="32"/>
        </w:rPr>
      </w:pPr>
      <w:r>
        <w:rPr>
          <w:rFonts w:hint="eastAsia" w:ascii="仿宋_GB2312" w:hAnsi="ˎ̥" w:eastAsia="仿宋_GB2312"/>
          <w:b/>
          <w:sz w:val="32"/>
          <w:szCs w:val="32"/>
        </w:rPr>
        <w:t>一般公共服务（类）组织事务（款）其他组织事务支出（项）</w:t>
      </w:r>
      <w:r>
        <w:rPr>
          <w:rFonts w:hint="eastAsia" w:ascii="仿宋_GB2312" w:hAnsi="ˎ̥" w:eastAsia="仿宋_GB2312"/>
          <w:sz w:val="32"/>
          <w:szCs w:val="32"/>
        </w:rPr>
        <w:t>年初预算为</w:t>
      </w:r>
      <w:r>
        <w:rPr>
          <w:rFonts w:hint="default" w:ascii="仿宋_GB2312" w:hAnsi="ˎ̥" w:eastAsia="仿宋_GB2312"/>
          <w:color w:val="FF0000"/>
          <w:sz w:val="32"/>
          <w:szCs w:val="32"/>
          <w:lang w:val="en-US"/>
        </w:rPr>
        <w:t>7,777.24</w:t>
      </w:r>
      <w:r>
        <w:rPr>
          <w:rFonts w:hint="eastAsia" w:ascii="仿宋_GB2312" w:hAnsi="ˎ̥" w:eastAsia="仿宋_GB2312"/>
          <w:sz w:val="32"/>
          <w:szCs w:val="32"/>
        </w:rPr>
        <w:t>万元，支出决算为</w:t>
      </w:r>
      <w:r>
        <w:rPr>
          <w:rFonts w:hint="default" w:ascii="仿宋_GB2312" w:hAnsi="ˎ̥" w:eastAsia="仿宋_GB2312"/>
          <w:color w:val="FF0000"/>
          <w:sz w:val="32"/>
          <w:szCs w:val="32"/>
          <w:lang w:val="en-US"/>
        </w:rPr>
        <w:t>7,851.81</w:t>
      </w:r>
      <w:r>
        <w:rPr>
          <w:rFonts w:hint="eastAsia" w:ascii="仿宋_GB2312" w:hAnsi="ˎ̥" w:eastAsia="仿宋_GB2312"/>
          <w:sz w:val="32"/>
          <w:szCs w:val="32"/>
        </w:rPr>
        <w:t>万元，完成年初预算的</w:t>
      </w:r>
      <w:r>
        <w:rPr>
          <w:rFonts w:hint="eastAsia" w:ascii="仿宋_GB2312" w:hAnsi="ˎ̥" w:eastAsia="仿宋_GB2312"/>
          <w:color w:val="FF0000"/>
          <w:sz w:val="32"/>
          <w:szCs w:val="32"/>
          <w:lang w:val="en-US" w:eastAsia="zh-CN"/>
        </w:rPr>
        <w:t>100.96</w:t>
      </w:r>
      <w:r>
        <w:rPr>
          <w:rFonts w:hint="eastAsia" w:ascii="仿宋_GB2312" w:hAnsi="ˎ̥" w:eastAsia="仿宋_GB2312"/>
          <w:sz w:val="32"/>
          <w:szCs w:val="32"/>
        </w:rPr>
        <w:t>%。决算数大于预算数的主要原因：一是</w:t>
      </w:r>
      <w:r>
        <w:rPr>
          <w:rFonts w:hint="eastAsia" w:ascii="仿宋_GB2312" w:hAnsi="ˎ̥" w:eastAsia="仿宋_GB2312"/>
          <w:sz w:val="32"/>
          <w:szCs w:val="32"/>
          <w:lang w:val="en-US" w:eastAsia="zh-CN"/>
        </w:rPr>
        <w:t>项目增加年中有追加。</w:t>
      </w:r>
    </w:p>
    <w:p>
      <w:pPr>
        <w:numPr>
          <w:ilvl w:val="0"/>
          <w:numId w:val="2"/>
        </w:numPr>
        <w:spacing w:line="578" w:lineRule="exact"/>
        <w:ind w:firstLine="643" w:firstLineChars="200"/>
        <w:rPr>
          <w:rFonts w:hint="eastAsia" w:ascii="仿宋_GB2312" w:hAnsi="ˎ̥" w:eastAsia="仿宋_GB2312"/>
          <w:b/>
          <w:sz w:val="32"/>
          <w:szCs w:val="32"/>
        </w:rPr>
      </w:pPr>
      <w:r>
        <w:rPr>
          <w:rFonts w:hint="eastAsia" w:ascii="仿宋_GB2312" w:hAnsi="ˎ̥" w:eastAsia="仿宋_GB2312"/>
          <w:b/>
          <w:sz w:val="32"/>
          <w:szCs w:val="32"/>
        </w:rPr>
        <w:t>其他一般公共服务支出（类）其他一般公共服务支出（款）其他组织事务支出（项）</w:t>
      </w:r>
      <w:r>
        <w:rPr>
          <w:rFonts w:hint="eastAsia" w:ascii="仿宋_GB2312" w:hAnsi="ˎ̥" w:eastAsia="仿宋_GB2312"/>
          <w:sz w:val="32"/>
          <w:szCs w:val="32"/>
        </w:rPr>
        <w:t>年初预算为</w:t>
      </w:r>
      <w:r>
        <w:rPr>
          <w:rFonts w:hint="default" w:ascii="仿宋_GB2312" w:hAnsi="ˎ̥" w:eastAsia="仿宋_GB2312"/>
          <w:color w:val="FF0000"/>
          <w:sz w:val="32"/>
          <w:szCs w:val="32"/>
          <w:lang w:val="en-US"/>
        </w:rPr>
        <w:t>7,777.24</w:t>
      </w:r>
      <w:r>
        <w:rPr>
          <w:rFonts w:hint="eastAsia" w:ascii="仿宋_GB2312" w:hAnsi="ˎ̥" w:eastAsia="仿宋_GB2312"/>
          <w:sz w:val="32"/>
          <w:szCs w:val="32"/>
        </w:rPr>
        <w:t>万元，支出决算为</w:t>
      </w:r>
      <w:r>
        <w:rPr>
          <w:rFonts w:hint="default" w:ascii="仿宋_GB2312" w:hAnsi="ˎ̥" w:eastAsia="仿宋_GB2312"/>
          <w:color w:val="FF0000"/>
          <w:sz w:val="32"/>
          <w:szCs w:val="32"/>
          <w:lang w:val="en-US"/>
        </w:rPr>
        <w:t>7,851.81</w:t>
      </w:r>
      <w:r>
        <w:rPr>
          <w:rFonts w:hint="eastAsia" w:ascii="仿宋_GB2312" w:hAnsi="ˎ̥" w:eastAsia="仿宋_GB2312"/>
          <w:sz w:val="32"/>
          <w:szCs w:val="32"/>
        </w:rPr>
        <w:t>万元，完成年初预算的</w:t>
      </w:r>
      <w:r>
        <w:rPr>
          <w:rFonts w:hint="eastAsia" w:ascii="仿宋_GB2312" w:hAnsi="ˎ̥" w:eastAsia="仿宋_GB2312"/>
          <w:color w:val="FF0000"/>
          <w:sz w:val="32"/>
          <w:szCs w:val="32"/>
          <w:lang w:val="en-US" w:eastAsia="zh-CN"/>
        </w:rPr>
        <w:t>100.96</w:t>
      </w:r>
      <w:r>
        <w:rPr>
          <w:rFonts w:hint="eastAsia" w:ascii="仿宋_GB2312" w:hAnsi="ˎ̥" w:eastAsia="仿宋_GB2312"/>
          <w:sz w:val="32"/>
          <w:szCs w:val="32"/>
        </w:rPr>
        <w:t>%。决算数大于预算数的主要原因：一是</w:t>
      </w:r>
      <w:r>
        <w:rPr>
          <w:rFonts w:hint="eastAsia" w:ascii="仿宋_GB2312" w:hAnsi="ˎ̥" w:eastAsia="仿宋_GB2312"/>
          <w:sz w:val="32"/>
          <w:szCs w:val="32"/>
          <w:lang w:val="en-US" w:eastAsia="zh-CN"/>
        </w:rPr>
        <w:t>项目增加年中有追加。</w:t>
      </w:r>
    </w:p>
    <w:p>
      <w:pPr>
        <w:numPr>
          <w:ilvl w:val="0"/>
          <w:numId w:val="2"/>
        </w:numPr>
        <w:spacing w:line="578" w:lineRule="exact"/>
        <w:ind w:firstLine="643" w:firstLineChars="200"/>
        <w:rPr>
          <w:rFonts w:hint="eastAsia" w:ascii="仿宋_GB2312" w:hAnsi="ˎ̥" w:eastAsia="仿宋_GB2312"/>
          <w:b/>
          <w:sz w:val="32"/>
          <w:szCs w:val="32"/>
        </w:rPr>
      </w:pPr>
      <w:r>
        <w:rPr>
          <w:rFonts w:hint="eastAsia" w:ascii="仿宋_GB2312" w:hAnsi="ˎ̥" w:eastAsia="仿宋_GB2312"/>
          <w:b/>
          <w:sz w:val="32"/>
          <w:szCs w:val="32"/>
        </w:rPr>
        <w:t>社会保障和就业支出（类）人力资源和社会保障管理事务（款）行政运行（项）</w:t>
      </w:r>
      <w:r>
        <w:rPr>
          <w:rFonts w:hint="eastAsia" w:ascii="仿宋_GB2312" w:hAnsi="ˎ̥" w:eastAsia="仿宋_GB2312"/>
          <w:sz w:val="32"/>
          <w:szCs w:val="32"/>
        </w:rPr>
        <w:t>年初预算为</w:t>
      </w:r>
      <w:r>
        <w:rPr>
          <w:rFonts w:hint="default" w:ascii="仿宋_GB2312" w:hAnsi="ˎ̥" w:eastAsia="仿宋_GB2312"/>
          <w:color w:val="FF0000"/>
          <w:sz w:val="32"/>
          <w:szCs w:val="32"/>
          <w:lang w:val="en-US"/>
        </w:rPr>
        <w:t>7,777.24</w:t>
      </w:r>
      <w:r>
        <w:rPr>
          <w:rFonts w:hint="eastAsia" w:ascii="仿宋_GB2312" w:hAnsi="ˎ̥" w:eastAsia="仿宋_GB2312"/>
          <w:sz w:val="32"/>
          <w:szCs w:val="32"/>
        </w:rPr>
        <w:t>万元，支出决算为</w:t>
      </w:r>
      <w:r>
        <w:rPr>
          <w:rFonts w:hint="default" w:ascii="仿宋_GB2312" w:hAnsi="ˎ̥" w:eastAsia="仿宋_GB2312"/>
          <w:color w:val="FF0000"/>
          <w:sz w:val="32"/>
          <w:szCs w:val="32"/>
          <w:lang w:val="en-US"/>
        </w:rPr>
        <w:t>7,851.81</w:t>
      </w:r>
      <w:r>
        <w:rPr>
          <w:rFonts w:hint="eastAsia" w:ascii="仿宋_GB2312" w:hAnsi="ˎ̥" w:eastAsia="仿宋_GB2312"/>
          <w:sz w:val="32"/>
          <w:szCs w:val="32"/>
        </w:rPr>
        <w:t>万元，完成年初预算的</w:t>
      </w:r>
      <w:r>
        <w:rPr>
          <w:rFonts w:hint="eastAsia" w:ascii="仿宋_GB2312" w:hAnsi="ˎ̥" w:eastAsia="仿宋_GB2312"/>
          <w:color w:val="FF0000"/>
          <w:sz w:val="32"/>
          <w:szCs w:val="32"/>
          <w:lang w:val="en-US" w:eastAsia="zh-CN"/>
        </w:rPr>
        <w:t>100.96</w:t>
      </w:r>
      <w:r>
        <w:rPr>
          <w:rFonts w:hint="eastAsia" w:ascii="仿宋_GB2312" w:hAnsi="ˎ̥" w:eastAsia="仿宋_GB2312"/>
          <w:sz w:val="32"/>
          <w:szCs w:val="32"/>
        </w:rPr>
        <w:t>%。决算数大于预算数的主要原因：一是</w:t>
      </w:r>
      <w:r>
        <w:rPr>
          <w:rFonts w:hint="eastAsia" w:ascii="仿宋_GB2312" w:hAnsi="ˎ̥" w:eastAsia="仿宋_GB2312"/>
          <w:sz w:val="32"/>
          <w:szCs w:val="32"/>
          <w:lang w:val="en-US" w:eastAsia="zh-CN"/>
        </w:rPr>
        <w:t>项目增加年中有追加。</w:t>
      </w:r>
    </w:p>
    <w:p>
      <w:pPr>
        <w:numPr>
          <w:ilvl w:val="0"/>
          <w:numId w:val="2"/>
        </w:numPr>
        <w:spacing w:line="578" w:lineRule="exact"/>
        <w:ind w:left="0" w:leftChars="0" w:firstLine="643" w:firstLineChars="200"/>
        <w:rPr>
          <w:rFonts w:hint="eastAsia" w:ascii="仿宋_GB2312" w:hAnsi="ˎ̥" w:eastAsia="仿宋_GB2312"/>
          <w:b/>
          <w:sz w:val="32"/>
          <w:szCs w:val="32"/>
        </w:rPr>
      </w:pPr>
      <w:r>
        <w:rPr>
          <w:rFonts w:hint="eastAsia" w:ascii="仿宋_GB2312" w:hAnsi="ˎ̥" w:eastAsia="仿宋_GB2312"/>
          <w:b/>
          <w:sz w:val="32"/>
          <w:szCs w:val="32"/>
        </w:rPr>
        <w:t>社会保障和就业支出（类）人力资源和社会保障管理事务（款）就业管理事务（项）</w:t>
      </w:r>
      <w:r>
        <w:rPr>
          <w:rFonts w:hint="eastAsia" w:ascii="仿宋_GB2312" w:hAnsi="ˎ̥" w:eastAsia="仿宋_GB2312"/>
          <w:sz w:val="32"/>
          <w:szCs w:val="32"/>
        </w:rPr>
        <w:t>年初预算为</w:t>
      </w:r>
      <w:r>
        <w:rPr>
          <w:rFonts w:hint="default" w:ascii="仿宋_GB2312" w:hAnsi="ˎ̥" w:eastAsia="仿宋_GB2312"/>
          <w:color w:val="FF0000"/>
          <w:sz w:val="32"/>
          <w:szCs w:val="32"/>
          <w:lang w:val="en-US"/>
        </w:rPr>
        <w:t>7,777.24</w:t>
      </w:r>
      <w:r>
        <w:rPr>
          <w:rFonts w:hint="eastAsia" w:ascii="仿宋_GB2312" w:hAnsi="ˎ̥" w:eastAsia="仿宋_GB2312"/>
          <w:sz w:val="32"/>
          <w:szCs w:val="32"/>
        </w:rPr>
        <w:t>万元，支出决算为</w:t>
      </w:r>
      <w:r>
        <w:rPr>
          <w:rFonts w:hint="default" w:ascii="仿宋_GB2312" w:hAnsi="ˎ̥" w:eastAsia="仿宋_GB2312"/>
          <w:color w:val="FF0000"/>
          <w:sz w:val="32"/>
          <w:szCs w:val="32"/>
          <w:lang w:val="en-US"/>
        </w:rPr>
        <w:t>7,851.81</w:t>
      </w:r>
      <w:r>
        <w:rPr>
          <w:rFonts w:hint="eastAsia" w:ascii="仿宋_GB2312" w:hAnsi="ˎ̥" w:eastAsia="仿宋_GB2312"/>
          <w:sz w:val="32"/>
          <w:szCs w:val="32"/>
        </w:rPr>
        <w:t>万元，完成年初预算的</w:t>
      </w:r>
      <w:r>
        <w:rPr>
          <w:rFonts w:hint="eastAsia" w:ascii="仿宋_GB2312" w:hAnsi="ˎ̥" w:eastAsia="仿宋_GB2312"/>
          <w:color w:val="FF0000"/>
          <w:sz w:val="32"/>
          <w:szCs w:val="32"/>
          <w:lang w:val="en-US" w:eastAsia="zh-CN"/>
        </w:rPr>
        <w:t>100.96</w:t>
      </w:r>
      <w:r>
        <w:rPr>
          <w:rFonts w:hint="eastAsia" w:ascii="仿宋_GB2312" w:hAnsi="ˎ̥" w:eastAsia="仿宋_GB2312"/>
          <w:sz w:val="32"/>
          <w:szCs w:val="32"/>
        </w:rPr>
        <w:t>%。决算数大于预算数的主要原因：一是</w:t>
      </w:r>
      <w:r>
        <w:rPr>
          <w:rFonts w:hint="eastAsia" w:ascii="仿宋_GB2312" w:hAnsi="ˎ̥" w:eastAsia="仿宋_GB2312"/>
          <w:sz w:val="32"/>
          <w:szCs w:val="32"/>
          <w:lang w:val="en-US" w:eastAsia="zh-CN"/>
        </w:rPr>
        <w:t>项目增加年中有追加。</w:t>
      </w:r>
    </w:p>
    <w:p>
      <w:pPr>
        <w:numPr>
          <w:ilvl w:val="0"/>
          <w:numId w:val="2"/>
        </w:numPr>
        <w:spacing w:line="578" w:lineRule="exact"/>
        <w:ind w:left="0" w:leftChars="0" w:firstLine="643" w:firstLineChars="200"/>
        <w:rPr>
          <w:rFonts w:hint="eastAsia" w:ascii="仿宋_GB2312" w:hAnsi="ˎ̥" w:eastAsia="仿宋_GB2312"/>
          <w:b/>
          <w:sz w:val="32"/>
          <w:szCs w:val="32"/>
        </w:rPr>
      </w:pPr>
      <w:r>
        <w:rPr>
          <w:rFonts w:hint="eastAsia" w:ascii="仿宋_GB2312" w:hAnsi="ˎ̥" w:eastAsia="仿宋_GB2312"/>
          <w:b/>
          <w:sz w:val="32"/>
          <w:szCs w:val="32"/>
        </w:rPr>
        <w:t>社会保障和就业支出（类）人力资源和社会保障管理事务（款）其他人力资源和社会保障管理事务支（项）</w:t>
      </w:r>
      <w:r>
        <w:rPr>
          <w:rFonts w:hint="eastAsia" w:ascii="仿宋_GB2312" w:hAnsi="ˎ̥" w:eastAsia="仿宋_GB2312"/>
          <w:b/>
          <w:sz w:val="32"/>
          <w:szCs w:val="32"/>
          <w:lang w:val="en-US" w:eastAsia="zh-CN"/>
        </w:rPr>
        <w:t>.</w:t>
      </w:r>
      <w:r>
        <w:rPr>
          <w:rFonts w:hint="eastAsia" w:ascii="仿宋_GB2312" w:hAnsi="ˎ̥" w:eastAsia="仿宋_GB2312"/>
          <w:sz w:val="32"/>
          <w:szCs w:val="32"/>
        </w:rPr>
        <w:t>年初预算为</w:t>
      </w:r>
      <w:r>
        <w:rPr>
          <w:rFonts w:hint="default" w:ascii="仿宋_GB2312" w:hAnsi="ˎ̥" w:eastAsia="仿宋_GB2312"/>
          <w:color w:val="FF0000"/>
          <w:sz w:val="32"/>
          <w:szCs w:val="32"/>
          <w:lang w:val="en-US"/>
        </w:rPr>
        <w:t>7,777.24</w:t>
      </w:r>
      <w:r>
        <w:rPr>
          <w:rFonts w:hint="eastAsia" w:ascii="仿宋_GB2312" w:hAnsi="ˎ̥" w:eastAsia="仿宋_GB2312"/>
          <w:sz w:val="32"/>
          <w:szCs w:val="32"/>
        </w:rPr>
        <w:t>万元，支出决算为</w:t>
      </w:r>
      <w:r>
        <w:rPr>
          <w:rFonts w:hint="default" w:ascii="仿宋_GB2312" w:hAnsi="ˎ̥" w:eastAsia="仿宋_GB2312"/>
          <w:color w:val="FF0000"/>
          <w:sz w:val="32"/>
          <w:szCs w:val="32"/>
          <w:lang w:val="en-US"/>
        </w:rPr>
        <w:t>7,851.81</w:t>
      </w:r>
      <w:r>
        <w:rPr>
          <w:rFonts w:hint="eastAsia" w:ascii="仿宋_GB2312" w:hAnsi="ˎ̥" w:eastAsia="仿宋_GB2312"/>
          <w:sz w:val="32"/>
          <w:szCs w:val="32"/>
        </w:rPr>
        <w:t>万元，完成年初预算的</w:t>
      </w:r>
      <w:r>
        <w:rPr>
          <w:rFonts w:hint="eastAsia" w:ascii="仿宋_GB2312" w:hAnsi="ˎ̥" w:eastAsia="仿宋_GB2312"/>
          <w:color w:val="FF0000"/>
          <w:sz w:val="32"/>
          <w:szCs w:val="32"/>
          <w:lang w:val="en-US" w:eastAsia="zh-CN"/>
        </w:rPr>
        <w:t>100.96</w:t>
      </w:r>
      <w:r>
        <w:rPr>
          <w:rFonts w:hint="eastAsia" w:ascii="仿宋_GB2312" w:hAnsi="ˎ̥" w:eastAsia="仿宋_GB2312"/>
          <w:sz w:val="32"/>
          <w:szCs w:val="32"/>
        </w:rPr>
        <w:t>%。决算数大于预算数的主要原因：一是</w:t>
      </w:r>
      <w:r>
        <w:rPr>
          <w:rFonts w:hint="eastAsia" w:ascii="仿宋_GB2312" w:hAnsi="ˎ̥" w:eastAsia="仿宋_GB2312"/>
          <w:sz w:val="32"/>
          <w:szCs w:val="32"/>
          <w:lang w:val="en-US" w:eastAsia="zh-CN"/>
        </w:rPr>
        <w:t>项目增加年中有追加。</w:t>
      </w:r>
    </w:p>
    <w:p>
      <w:pPr>
        <w:numPr>
          <w:ilvl w:val="0"/>
          <w:numId w:val="2"/>
        </w:numPr>
        <w:spacing w:line="578" w:lineRule="exact"/>
        <w:ind w:left="0" w:leftChars="0" w:firstLine="643" w:firstLineChars="200"/>
        <w:rPr>
          <w:rFonts w:hint="eastAsia" w:ascii="仿宋_GB2312" w:hAnsi="ˎ̥" w:eastAsia="仿宋_GB2312"/>
          <w:b/>
          <w:sz w:val="32"/>
          <w:szCs w:val="32"/>
        </w:rPr>
      </w:pPr>
      <w:r>
        <w:rPr>
          <w:rFonts w:hint="eastAsia" w:ascii="仿宋_GB2312" w:hAnsi="ˎ̥" w:eastAsia="仿宋_GB2312"/>
          <w:b/>
          <w:sz w:val="32"/>
          <w:szCs w:val="32"/>
        </w:rPr>
        <w:t>卫生健康支出（类）行政事业单位医疗（款）行政单位医疗（项）</w:t>
      </w:r>
      <w:r>
        <w:rPr>
          <w:rFonts w:hint="eastAsia" w:ascii="仿宋_GB2312" w:hAnsi="ˎ̥" w:eastAsia="仿宋_GB2312"/>
          <w:b/>
          <w:sz w:val="32"/>
          <w:szCs w:val="32"/>
          <w:lang w:val="en-US" w:eastAsia="zh-CN"/>
        </w:rPr>
        <w:t>.</w:t>
      </w:r>
      <w:r>
        <w:rPr>
          <w:rFonts w:hint="eastAsia" w:ascii="仿宋_GB2312" w:hAnsi="ˎ̥" w:eastAsia="仿宋_GB2312"/>
          <w:sz w:val="32"/>
          <w:szCs w:val="32"/>
        </w:rPr>
        <w:t>年初预算为</w:t>
      </w:r>
      <w:r>
        <w:rPr>
          <w:rFonts w:hint="default" w:ascii="仿宋_GB2312" w:hAnsi="ˎ̥" w:eastAsia="仿宋_GB2312"/>
          <w:color w:val="FF0000"/>
          <w:sz w:val="32"/>
          <w:szCs w:val="32"/>
          <w:lang w:val="en-US"/>
        </w:rPr>
        <w:t>7,777.24</w:t>
      </w:r>
      <w:r>
        <w:rPr>
          <w:rFonts w:hint="eastAsia" w:ascii="仿宋_GB2312" w:hAnsi="ˎ̥" w:eastAsia="仿宋_GB2312"/>
          <w:sz w:val="32"/>
          <w:szCs w:val="32"/>
        </w:rPr>
        <w:t>万元，支出决算为</w:t>
      </w:r>
      <w:r>
        <w:rPr>
          <w:rFonts w:hint="default" w:ascii="仿宋_GB2312" w:hAnsi="ˎ̥" w:eastAsia="仿宋_GB2312"/>
          <w:color w:val="FF0000"/>
          <w:sz w:val="32"/>
          <w:szCs w:val="32"/>
          <w:lang w:val="en-US"/>
        </w:rPr>
        <w:t>7,851.81</w:t>
      </w:r>
      <w:r>
        <w:rPr>
          <w:rFonts w:hint="eastAsia" w:ascii="仿宋_GB2312" w:hAnsi="ˎ̥" w:eastAsia="仿宋_GB2312"/>
          <w:sz w:val="32"/>
          <w:szCs w:val="32"/>
        </w:rPr>
        <w:t>万元，完成年初预算的</w:t>
      </w:r>
      <w:r>
        <w:rPr>
          <w:rFonts w:hint="eastAsia" w:ascii="仿宋_GB2312" w:hAnsi="ˎ̥" w:eastAsia="仿宋_GB2312"/>
          <w:color w:val="FF0000"/>
          <w:sz w:val="32"/>
          <w:szCs w:val="32"/>
          <w:lang w:val="en-US" w:eastAsia="zh-CN"/>
        </w:rPr>
        <w:t>100.96</w:t>
      </w:r>
      <w:r>
        <w:rPr>
          <w:rFonts w:hint="eastAsia" w:ascii="仿宋_GB2312" w:hAnsi="ˎ̥" w:eastAsia="仿宋_GB2312"/>
          <w:sz w:val="32"/>
          <w:szCs w:val="32"/>
        </w:rPr>
        <w:t>%。决算数大于预算数的主要原因：一是</w:t>
      </w:r>
      <w:r>
        <w:rPr>
          <w:rFonts w:hint="eastAsia" w:ascii="仿宋_GB2312" w:hAnsi="ˎ̥" w:eastAsia="仿宋_GB2312"/>
          <w:sz w:val="32"/>
          <w:szCs w:val="32"/>
          <w:lang w:val="en-US" w:eastAsia="zh-CN"/>
        </w:rPr>
        <w:t>项目增加年中有追加。</w:t>
      </w:r>
    </w:p>
    <w:p>
      <w:pPr>
        <w:numPr>
          <w:ilvl w:val="0"/>
          <w:numId w:val="2"/>
        </w:numPr>
        <w:spacing w:line="578" w:lineRule="exact"/>
        <w:ind w:left="0" w:leftChars="0" w:firstLine="643" w:firstLineChars="200"/>
        <w:rPr>
          <w:rFonts w:hint="eastAsia" w:ascii="仿宋_GB2312" w:hAnsi="ˎ̥" w:eastAsia="仿宋_GB2312"/>
          <w:b/>
          <w:sz w:val="32"/>
          <w:szCs w:val="32"/>
        </w:rPr>
      </w:pPr>
      <w:r>
        <w:rPr>
          <w:rFonts w:hint="eastAsia" w:ascii="仿宋_GB2312" w:hAnsi="ˎ̥" w:eastAsia="仿宋_GB2312"/>
          <w:b/>
          <w:sz w:val="32"/>
          <w:szCs w:val="32"/>
        </w:rPr>
        <w:t>农林水支出（类）农业农村（款）稳定农民收入补贴（项）</w:t>
      </w:r>
      <w:r>
        <w:rPr>
          <w:rFonts w:hint="eastAsia" w:ascii="仿宋_GB2312" w:hAnsi="ˎ̥" w:eastAsia="仿宋_GB2312"/>
          <w:b/>
          <w:sz w:val="32"/>
          <w:szCs w:val="32"/>
          <w:lang w:val="en-US" w:eastAsia="zh-CN"/>
        </w:rPr>
        <w:t>.</w:t>
      </w:r>
      <w:r>
        <w:rPr>
          <w:rFonts w:hint="eastAsia" w:ascii="仿宋_GB2312" w:hAnsi="ˎ̥" w:eastAsia="仿宋_GB2312"/>
          <w:sz w:val="32"/>
          <w:szCs w:val="32"/>
        </w:rPr>
        <w:t>年初预算为</w:t>
      </w:r>
      <w:r>
        <w:rPr>
          <w:rFonts w:hint="default" w:ascii="仿宋_GB2312" w:hAnsi="ˎ̥" w:eastAsia="仿宋_GB2312"/>
          <w:color w:val="FF0000"/>
          <w:sz w:val="32"/>
          <w:szCs w:val="32"/>
          <w:lang w:val="en-US"/>
        </w:rPr>
        <w:t>7,777.24</w:t>
      </w:r>
      <w:r>
        <w:rPr>
          <w:rFonts w:hint="eastAsia" w:ascii="仿宋_GB2312" w:hAnsi="ˎ̥" w:eastAsia="仿宋_GB2312"/>
          <w:sz w:val="32"/>
          <w:szCs w:val="32"/>
        </w:rPr>
        <w:t>万元，支出决算为</w:t>
      </w:r>
      <w:r>
        <w:rPr>
          <w:rFonts w:hint="default" w:ascii="仿宋_GB2312" w:hAnsi="ˎ̥" w:eastAsia="仿宋_GB2312"/>
          <w:color w:val="FF0000"/>
          <w:sz w:val="32"/>
          <w:szCs w:val="32"/>
          <w:lang w:val="en-US"/>
        </w:rPr>
        <w:t>7,851.81</w:t>
      </w:r>
      <w:r>
        <w:rPr>
          <w:rFonts w:hint="eastAsia" w:ascii="仿宋_GB2312" w:hAnsi="ˎ̥" w:eastAsia="仿宋_GB2312"/>
          <w:sz w:val="32"/>
          <w:szCs w:val="32"/>
        </w:rPr>
        <w:t>万元，完成年初预算的</w:t>
      </w:r>
      <w:r>
        <w:rPr>
          <w:rFonts w:hint="eastAsia" w:ascii="仿宋_GB2312" w:hAnsi="ˎ̥" w:eastAsia="仿宋_GB2312"/>
          <w:color w:val="FF0000"/>
          <w:sz w:val="32"/>
          <w:szCs w:val="32"/>
          <w:lang w:val="en-US" w:eastAsia="zh-CN"/>
        </w:rPr>
        <w:t>100.96</w:t>
      </w:r>
      <w:r>
        <w:rPr>
          <w:rFonts w:hint="eastAsia" w:ascii="仿宋_GB2312" w:hAnsi="ˎ̥" w:eastAsia="仿宋_GB2312"/>
          <w:sz w:val="32"/>
          <w:szCs w:val="32"/>
        </w:rPr>
        <w:t>%。决算数大于预算数的主要原因：一是</w:t>
      </w:r>
      <w:r>
        <w:rPr>
          <w:rFonts w:hint="eastAsia" w:ascii="仿宋_GB2312" w:hAnsi="ˎ̥" w:eastAsia="仿宋_GB2312"/>
          <w:sz w:val="32"/>
          <w:szCs w:val="32"/>
          <w:lang w:val="en-US" w:eastAsia="zh-CN"/>
        </w:rPr>
        <w:t>项目增加年中有追加。</w:t>
      </w:r>
    </w:p>
    <w:p>
      <w:pPr>
        <w:numPr>
          <w:ilvl w:val="0"/>
          <w:numId w:val="2"/>
        </w:numPr>
        <w:spacing w:line="578" w:lineRule="exact"/>
        <w:ind w:left="0" w:leftChars="0" w:firstLine="643" w:firstLineChars="200"/>
        <w:rPr>
          <w:rFonts w:hint="eastAsia" w:ascii="仿宋_GB2312" w:hAnsi="ˎ̥" w:eastAsia="仿宋_GB2312"/>
          <w:sz w:val="32"/>
          <w:szCs w:val="32"/>
        </w:rPr>
      </w:pPr>
      <w:r>
        <w:rPr>
          <w:rFonts w:hint="eastAsia" w:ascii="仿宋_GB2312" w:hAnsi="ˎ̥" w:eastAsia="仿宋_GB2312"/>
          <w:b/>
          <w:sz w:val="32"/>
          <w:szCs w:val="32"/>
        </w:rPr>
        <w:t>住房保障支出（类）住房改革支出（款）住房公积金（项）</w:t>
      </w:r>
      <w:r>
        <w:rPr>
          <w:rFonts w:hint="eastAsia" w:ascii="仿宋_GB2312" w:hAnsi="ˎ̥" w:eastAsia="仿宋_GB2312"/>
          <w:sz w:val="32"/>
          <w:szCs w:val="32"/>
        </w:rPr>
        <w:t>年初预算为</w:t>
      </w:r>
      <w:r>
        <w:rPr>
          <w:rFonts w:hint="default" w:ascii="仿宋_GB2312" w:hAnsi="ˎ̥" w:eastAsia="仿宋_GB2312"/>
          <w:color w:val="FF0000"/>
          <w:sz w:val="32"/>
          <w:szCs w:val="32"/>
          <w:lang w:val="en-US"/>
        </w:rPr>
        <w:t>7,777.24</w:t>
      </w:r>
      <w:r>
        <w:rPr>
          <w:rFonts w:hint="eastAsia" w:ascii="仿宋_GB2312" w:hAnsi="ˎ̥" w:eastAsia="仿宋_GB2312"/>
          <w:sz w:val="32"/>
          <w:szCs w:val="32"/>
        </w:rPr>
        <w:t>万元，支出决算为</w:t>
      </w:r>
      <w:r>
        <w:rPr>
          <w:rFonts w:hint="default" w:ascii="仿宋_GB2312" w:hAnsi="ˎ̥" w:eastAsia="仿宋_GB2312"/>
          <w:color w:val="FF0000"/>
          <w:sz w:val="32"/>
          <w:szCs w:val="32"/>
          <w:lang w:val="en-US"/>
        </w:rPr>
        <w:t>7,851.81</w:t>
      </w:r>
      <w:r>
        <w:rPr>
          <w:rFonts w:hint="eastAsia" w:ascii="仿宋_GB2312" w:hAnsi="ˎ̥" w:eastAsia="仿宋_GB2312"/>
          <w:sz w:val="32"/>
          <w:szCs w:val="32"/>
        </w:rPr>
        <w:t>万元，完成年初预算的</w:t>
      </w:r>
      <w:r>
        <w:rPr>
          <w:rFonts w:hint="eastAsia" w:ascii="仿宋_GB2312" w:hAnsi="ˎ̥" w:eastAsia="仿宋_GB2312"/>
          <w:color w:val="FF0000"/>
          <w:sz w:val="32"/>
          <w:szCs w:val="32"/>
          <w:lang w:val="en-US" w:eastAsia="zh-CN"/>
        </w:rPr>
        <w:t>100.96</w:t>
      </w:r>
      <w:r>
        <w:rPr>
          <w:rFonts w:hint="eastAsia" w:ascii="仿宋_GB2312" w:hAnsi="ˎ̥" w:eastAsia="仿宋_GB2312"/>
          <w:sz w:val="32"/>
          <w:szCs w:val="32"/>
        </w:rPr>
        <w:t>%。决算数大于预算数的主要原因：一是</w:t>
      </w:r>
      <w:r>
        <w:rPr>
          <w:rFonts w:hint="eastAsia" w:ascii="仿宋_GB2312" w:hAnsi="ˎ̥" w:eastAsia="仿宋_GB2312"/>
          <w:sz w:val="32"/>
          <w:szCs w:val="32"/>
          <w:lang w:val="en-US" w:eastAsia="zh-CN"/>
        </w:rPr>
        <w:t>项目增加年中有追加。</w:t>
      </w:r>
      <w:bookmarkStart w:id="115" w:name="_GoBack"/>
      <w:bookmarkEnd w:id="115"/>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黑体" w:hAnsi="黑体" w:eastAsia="黑体" w:cs="黑体"/>
          <w:sz w:val="32"/>
          <w:szCs w:val="32"/>
        </w:rPr>
      </w:pPr>
      <w:r>
        <w:rPr>
          <w:rFonts w:hint="eastAsia" w:ascii="黑体" w:hAnsi="黑体" w:eastAsia="黑体" w:cs="黑体"/>
          <w:bCs/>
          <w:sz w:val="32"/>
          <w:szCs w:val="32"/>
        </w:rPr>
        <w:t>六、一般公共预算财政拨款基本支出决算情况说明</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年度财政拨款基本支出</w:t>
      </w:r>
      <w:r>
        <w:rPr>
          <w:rFonts w:hint="eastAsia" w:ascii="仿宋_GB2312" w:hAnsi="ˎ̥" w:eastAsia="仿宋_GB2312"/>
          <w:color w:val="FF0000"/>
          <w:sz w:val="32"/>
          <w:szCs w:val="32"/>
          <w:lang w:val="en-US"/>
        </w:rPr>
        <w:t>566.23</w:t>
      </w:r>
      <w:r>
        <w:rPr>
          <w:rFonts w:hint="eastAsia" w:ascii="仿宋_GB2312" w:hAnsi="ˎ̥" w:eastAsia="仿宋_GB2312"/>
          <w:sz w:val="32"/>
          <w:szCs w:val="32"/>
        </w:rPr>
        <w:t>万元，其中：人员经费</w:t>
      </w:r>
      <w:r>
        <w:rPr>
          <w:rFonts w:ascii="仿宋_GB2312" w:hAnsi="ˎ̥" w:eastAsia="仿宋_GB2312"/>
          <w:color w:val="FF0000"/>
          <w:sz w:val="32"/>
          <w:szCs w:val="32"/>
          <w:lang w:val="en-US"/>
        </w:rPr>
        <w:t>546.91</w:t>
      </w:r>
      <w:r>
        <w:rPr>
          <w:rFonts w:hint="eastAsia" w:ascii="仿宋_GB2312" w:hAnsi="ˎ̥" w:eastAsia="仿宋_GB2312"/>
          <w:sz w:val="32"/>
          <w:szCs w:val="32"/>
        </w:rPr>
        <w:t>万元，主要包括：工资福利支出中的基本工资、津贴补贴、奖金、伙食补助费、绩效工资、机关事业单位基本养老保险缴费、职业年金缴费、职工基本医疗保险缴费、公务员医疗补助缴费、其他社会保障缴费、住房公积金、医疗费、其他工资福利支出；对个人和家庭的补助中的离休费、退休费、退职（役）费、抚恤金、生活补助、救济费、医疗费补助、助学金、奖励金、个人农业生产补贴、代缴社会保险费、其他对个人和家庭的补助。公用经费</w:t>
      </w:r>
      <w:r>
        <w:rPr>
          <w:rFonts w:ascii="仿宋_GB2312" w:hAnsi="ˎ̥" w:eastAsia="仿宋_GB2312"/>
          <w:color w:val="FF0000"/>
          <w:sz w:val="32"/>
          <w:szCs w:val="32"/>
          <w:lang w:val="en-US"/>
        </w:rPr>
        <w:t>19.32</w:t>
      </w:r>
      <w:r>
        <w:rPr>
          <w:rFonts w:hint="eastAsia" w:ascii="仿宋_GB2312" w:hAnsi="ˎ̥" w:eastAsia="仿宋_GB2312"/>
          <w:sz w:val="32"/>
          <w:szCs w:val="32"/>
        </w:rPr>
        <w:t>万元，主要包括：商品和服务支出中的办公费、印刷费、咨询费、手续费、水费、电费、邮电费、取暖费、物业管理费、差旅费、因公出国（境）费用、维修（护）费、租赁费、会议费、培训费、公务接待费、专用材料费、被装购置费、专用燃料费、劳务费、委托业务费、工会经费、福利费、公务用车运行维护费、其他交通费用、税金及附加费用、其他商品和服务支出；债务利息及费用支出中的国内债务付息及国外债务付息；资本性支出中的房屋建筑物</w:t>
      </w:r>
      <w:r>
        <w:rPr>
          <w:rFonts w:hint="eastAsia" w:ascii="仿宋_GB2312" w:hAnsi="ˎ̥" w:eastAsia="仿宋_GB2312"/>
          <w:sz w:val="32"/>
          <w:szCs w:val="32"/>
          <w:lang w:val="en-US" w:eastAsia="zh-CN"/>
        </w:rPr>
        <w:t>购</w:t>
      </w:r>
      <w:r>
        <w:rPr>
          <w:rFonts w:hint="eastAsia" w:ascii="仿宋_GB2312" w:hAnsi="ˎ̥" w:eastAsia="仿宋_GB2312"/>
          <w:sz w:val="32"/>
          <w:szCs w:val="32"/>
        </w:rPr>
        <w:t>建、办公设备购置、专用设备购置、基础设施建设、大型修缮、信息网络及软件购置更新、物资储备、土地补偿、安置补助、地上附着物和青苗补偿、拆迁补偿、公务用车购置、其他交通工具购置、文物和陈列品购置、无形资产购置、其他资本性支出等；其他支出中的赠予、国家赔偿费用支出、对民间非营利组织和群众性自治组织补贴和其他支出。</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上述</w:t>
      </w:r>
      <w:r>
        <w:rPr>
          <w:rFonts w:hint="eastAsia" w:ascii="仿宋_GB2312" w:hAnsi="ˎ̥" w:eastAsia="仿宋_GB2312"/>
          <w:sz w:val="32"/>
          <w:szCs w:val="32"/>
          <w:lang w:val="en-US" w:eastAsia="zh-CN"/>
        </w:rPr>
        <w:t>数据</w:t>
      </w:r>
      <w:r>
        <w:rPr>
          <w:rFonts w:hint="eastAsia" w:ascii="仿宋_GB2312" w:hAnsi="ˎ̥" w:eastAsia="仿宋_GB2312"/>
          <w:sz w:val="32"/>
          <w:szCs w:val="32"/>
        </w:rPr>
        <w:t>可取自财决公开06表，各</w:t>
      </w:r>
      <w:r>
        <w:rPr>
          <w:rFonts w:hint="eastAsia" w:ascii="仿宋_GB2312" w:hAnsi="ˎ̥" w:eastAsia="仿宋_GB2312"/>
          <w:sz w:val="32"/>
          <w:szCs w:val="32"/>
          <w:lang w:val="en-US" w:eastAsia="zh-CN"/>
        </w:rPr>
        <w:t>预算</w:t>
      </w:r>
      <w:r>
        <w:rPr>
          <w:rFonts w:hint="eastAsia" w:ascii="仿宋_GB2312" w:hAnsi="ˎ̥" w:eastAsia="仿宋_GB2312"/>
          <w:sz w:val="32"/>
          <w:szCs w:val="32"/>
        </w:rPr>
        <w:t>部门</w:t>
      </w:r>
      <w:r>
        <w:rPr>
          <w:rFonts w:hint="eastAsia" w:ascii="仿宋_GB2312" w:hAnsi="ˎ̥" w:eastAsia="仿宋_GB2312"/>
          <w:sz w:val="32"/>
          <w:szCs w:val="32"/>
          <w:lang w:eastAsia="zh-CN"/>
        </w:rPr>
        <w:t>、</w:t>
      </w:r>
      <w:r>
        <w:rPr>
          <w:rFonts w:hint="eastAsia" w:ascii="仿宋_GB2312" w:hAnsi="ˎ̥" w:eastAsia="仿宋_GB2312"/>
          <w:sz w:val="32"/>
          <w:szCs w:val="32"/>
        </w:rPr>
        <w:t>单位根据实际支出情况，选列相应支出经济分类。）</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七、政府性基金预算财政拨款支出决算情况说明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（一）政府性基金预算财政拨款支出决算总体情况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年度政府性基金预算财政拨款支出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（二）政府性基金预算财政拨款支出决算结构情况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年度政府性基金预算财政拨款支出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（三）政府性基金预算财政拨款支出决算具体情况</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年度政府性基金预算财政拨款支出年初预算为</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八、国有资本经营预算财政拨款支出决算情况说明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（一）国有资本经营预算财政拨款支出决算总体情况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年度国有资本经营预算财政拨款支出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（二）国有资本经营预算财政拨款支出决算结构情况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年度国有资本经营预算财政拨款支出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（三）国有资本经营预算财政拨款支出决算具体情况</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年度国有资本经营预算财政拨款支出年初预算为</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仿宋_GB2312" w:hAnsi="ˎ̥" w:eastAsia="楷体_GB2312"/>
          <w:sz w:val="32"/>
          <w:szCs w:val="32"/>
        </w:rPr>
      </w:pPr>
      <w:r>
        <w:rPr>
          <w:rFonts w:hint="eastAsia" w:ascii="黑体" w:hAnsi="黑体" w:eastAsia="黑体" w:cs="黑体"/>
          <w:bCs/>
          <w:sz w:val="32"/>
          <w:szCs w:val="32"/>
        </w:rPr>
        <w:t>九、财政拨款“三公”经费支出决算情况说明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r>
        <w:rPr>
          <w:rFonts w:hint="eastAsia" w:ascii="楷体" w:hAnsi="楷体" w:eastAsia="楷体" w:cs="楷体"/>
          <w:bCs/>
          <w:sz w:val="32"/>
          <w:szCs w:val="32"/>
        </w:rPr>
        <w:t>（一）财政拨款“三公”经费支出决算总体情况说明</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sz w:val="32"/>
          <w:szCs w:val="32"/>
        </w:rPr>
      </w:pPr>
      <w:r>
        <w:rPr>
          <w:rFonts w:hint="eastAsia" w:ascii="仿宋_GB2312" w:hAnsi="ˎ̥" w:eastAsia="仿宋_GB2312"/>
          <w:sz w:val="32"/>
          <w:szCs w:val="32"/>
        </w:rPr>
        <w:t xml:space="preserve">    </w:t>
      </w:r>
      <w:r>
        <w:rPr>
          <w:rFonts w:hint="default" w:ascii="仿宋_GB2312" w:hAnsi="ˎ̥" w:eastAsia="仿宋_GB2312"/>
          <w:sz w:val="32"/>
          <w:szCs w:val="32"/>
          <w:lang w:val="en-US"/>
        </w:rPr>
        <w:t>2024</w:t>
      </w:r>
      <w:r>
        <w:rPr>
          <w:rFonts w:hint="eastAsia" w:ascii="仿宋_GB2312" w:hAnsi="ˎ̥" w:eastAsia="仿宋_GB2312"/>
          <w:sz w:val="32"/>
          <w:szCs w:val="32"/>
        </w:rPr>
        <w:t>年度财政拨款“三公”经费支出预算为</w:t>
      </w:r>
      <w:r>
        <w:rPr>
          <w:rFonts w:hint="default" w:ascii="仿宋_GB2312" w:hAnsi="ˎ̥" w:eastAsia="仿宋_GB2312"/>
          <w:color w:val="FF0000"/>
          <w:sz w:val="32"/>
          <w:szCs w:val="32"/>
          <w:lang w:val="en-US"/>
        </w:rPr>
        <w:t>2.47</w:t>
      </w:r>
      <w:r>
        <w:rPr>
          <w:rFonts w:hint="eastAsia" w:ascii="仿宋_GB2312" w:hAnsi="ˎ̥" w:eastAsia="仿宋_GB2312"/>
          <w:sz w:val="32"/>
          <w:szCs w:val="32"/>
        </w:rPr>
        <w:t>万元，支出决算为</w:t>
      </w:r>
      <w:r>
        <w:rPr>
          <w:rFonts w:hint="default" w:ascii="仿宋_GB2312" w:hAnsi="ˎ̥" w:eastAsia="仿宋_GB2312"/>
          <w:color w:val="FF0000"/>
          <w:sz w:val="32"/>
          <w:szCs w:val="32"/>
          <w:lang w:val="en-US"/>
        </w:rPr>
        <w:t>2.47</w:t>
      </w:r>
      <w:r>
        <w:rPr>
          <w:rFonts w:hint="eastAsia" w:ascii="仿宋_GB2312" w:hAnsi="ˎ̥" w:eastAsia="仿宋_GB2312"/>
          <w:sz w:val="32"/>
          <w:szCs w:val="32"/>
        </w:rPr>
        <w:t>万元，完成预算的</w:t>
      </w:r>
      <w:r>
        <w:rPr>
          <w:rFonts w:hint="eastAsia" w:ascii="仿宋_GB2312" w:hAnsi="ˎ̥" w:eastAsia="仿宋_GB2312"/>
          <w:color w:val="FF0000"/>
          <w:sz w:val="32"/>
          <w:szCs w:val="32"/>
          <w:lang w:val="en-US" w:eastAsia="zh-CN"/>
        </w:rPr>
        <w:t>100</w:t>
      </w:r>
      <w:r>
        <w:rPr>
          <w:rFonts w:hint="eastAsia" w:ascii="仿宋_GB2312" w:hAnsi="ˎ̥" w:eastAsia="仿宋_GB2312"/>
          <w:sz w:val="32"/>
          <w:szCs w:val="32"/>
        </w:rPr>
        <w:t>%，</w:t>
      </w:r>
      <w:r>
        <w:rPr>
          <w:rFonts w:ascii="仿宋_GB2312" w:hAnsi="ˎ̥" w:eastAsia="仿宋_GB2312"/>
          <w:sz w:val="32"/>
          <w:szCs w:val="32"/>
        </w:rPr>
        <w:t>与</w:t>
      </w:r>
      <w:r>
        <w:rPr>
          <w:rFonts w:hint="default" w:ascii="仿宋_GB2312" w:hAnsi="ˎ̥" w:eastAsia="仿宋_GB2312"/>
          <w:sz w:val="32"/>
          <w:szCs w:val="32"/>
          <w:lang w:val="en-US"/>
        </w:rPr>
        <w:t>2023</w:t>
      </w:r>
      <w:r>
        <w:rPr>
          <w:rFonts w:hint="eastAsia" w:ascii="仿宋_GB2312" w:hAnsi="ˎ̥" w:eastAsia="仿宋_GB2312"/>
          <w:sz w:val="32"/>
          <w:szCs w:val="32"/>
        </w:rPr>
        <w:t>年度</w:t>
      </w:r>
      <w:r>
        <w:rPr>
          <w:rFonts w:ascii="仿宋_GB2312" w:hAnsi="ˎ̥" w:eastAsia="仿宋_GB2312"/>
          <w:sz w:val="32"/>
          <w:szCs w:val="32"/>
        </w:rPr>
        <w:t>相比，</w:t>
      </w:r>
      <w:r>
        <w:rPr>
          <w:rFonts w:hint="eastAsia" w:ascii="仿宋_GB2312" w:hAnsi="ˎ̥" w:eastAsia="仿宋_GB2312"/>
          <w:sz w:val="32"/>
          <w:szCs w:val="32"/>
        </w:rPr>
        <w:t>“三公”经费支出</w:t>
      </w:r>
      <w:r>
        <w:rPr>
          <w:rFonts w:ascii="仿宋_GB2312" w:hAnsi="ˎ̥" w:eastAsia="仿宋_GB2312"/>
          <w:sz w:val="32"/>
          <w:szCs w:val="32"/>
        </w:rPr>
        <w:t>（</w:t>
      </w:r>
      <w:r>
        <w:rPr>
          <w:rFonts w:hint="eastAsia" w:ascii="仿宋_GB2312" w:hAnsi="ˎ̥" w:eastAsia="仿宋_GB2312"/>
          <w:sz w:val="32"/>
          <w:szCs w:val="32"/>
        </w:rPr>
        <w:t>减少</w:t>
      </w:r>
      <w:r>
        <w:rPr>
          <w:rFonts w:ascii="仿宋_GB2312" w:hAnsi="ˎ̥" w:eastAsia="仿宋_GB2312"/>
          <w:sz w:val="32"/>
          <w:szCs w:val="32"/>
        </w:rPr>
        <w:t>）</w:t>
      </w:r>
      <w:r>
        <w:rPr>
          <w:rFonts w:hint="eastAsia" w:ascii="仿宋_GB2312" w:hAnsi="ˎ̥" w:eastAsia="仿宋_GB2312"/>
          <w:color w:val="FF0000"/>
          <w:sz w:val="32"/>
          <w:szCs w:val="32"/>
          <w:lang w:val="en-US" w:eastAsia="zh-CN"/>
        </w:rPr>
        <w:t>0.31</w:t>
      </w:r>
      <w:r>
        <w:rPr>
          <w:rFonts w:hint="eastAsia" w:ascii="仿宋_GB2312" w:hAnsi="ˎ̥" w:eastAsia="仿宋_GB2312"/>
          <w:sz w:val="32"/>
          <w:szCs w:val="32"/>
        </w:rPr>
        <w:t>万元</w:t>
      </w:r>
      <w:r>
        <w:rPr>
          <w:rFonts w:ascii="仿宋_GB2312" w:hAnsi="ˎ̥" w:eastAsia="仿宋_GB2312"/>
          <w:sz w:val="32"/>
          <w:szCs w:val="32"/>
        </w:rPr>
        <w:t>，（</w:t>
      </w:r>
      <w:r>
        <w:rPr>
          <w:rFonts w:hint="eastAsia" w:ascii="仿宋_GB2312" w:hAnsi="ˎ̥" w:eastAsia="仿宋_GB2312"/>
          <w:sz w:val="32"/>
          <w:szCs w:val="32"/>
        </w:rPr>
        <w:t>下降</w:t>
      </w:r>
      <w:r>
        <w:rPr>
          <w:rFonts w:ascii="仿宋_GB2312" w:hAnsi="ˎ̥" w:eastAsia="仿宋_GB2312"/>
          <w:sz w:val="32"/>
          <w:szCs w:val="32"/>
        </w:rPr>
        <w:t>）</w:t>
      </w:r>
      <w:r>
        <w:rPr>
          <w:rFonts w:hint="eastAsia" w:ascii="仿宋_GB2312" w:hAnsi="ˎ̥" w:eastAsia="仿宋_GB2312"/>
          <w:color w:val="FF0000"/>
          <w:sz w:val="32"/>
          <w:szCs w:val="32"/>
          <w:lang w:val="en-US" w:eastAsia="zh-CN"/>
        </w:rPr>
        <w:t>11.15</w:t>
      </w:r>
      <w:r>
        <w:rPr>
          <w:rFonts w:hint="eastAsia" w:ascii="仿宋_GB2312" w:hAnsi="ˎ̥" w:eastAsia="仿宋_GB2312"/>
          <w:sz w:val="32"/>
          <w:szCs w:val="32"/>
        </w:rPr>
        <w:t>%，</w:t>
      </w:r>
      <w:r>
        <w:rPr>
          <w:rFonts w:ascii="仿宋_GB2312" w:hAnsi="ˎ̥" w:eastAsia="仿宋_GB2312"/>
          <w:sz w:val="32"/>
          <w:szCs w:val="32"/>
        </w:rPr>
        <w:t>主要原因是</w:t>
      </w:r>
      <w:r>
        <w:rPr>
          <w:rFonts w:hint="eastAsia" w:ascii="仿宋_GB2312" w:hAnsi="ˎ̥" w:eastAsia="仿宋_GB2312"/>
          <w:sz w:val="32"/>
          <w:szCs w:val="32"/>
          <w:lang w:val="en-US" w:eastAsia="zh-CN"/>
        </w:rPr>
        <w:t>单位合并人员优化</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楷体" w:hAnsi="楷体" w:eastAsia="楷体" w:cs="楷体"/>
          <w:sz w:val="32"/>
          <w:szCs w:val="32"/>
        </w:rPr>
      </w:pPr>
      <w:r>
        <w:rPr>
          <w:rFonts w:hint="eastAsia" w:ascii="楷体" w:hAnsi="楷体" w:eastAsia="楷体" w:cs="楷体"/>
          <w:b/>
          <w:bCs/>
          <w:sz w:val="32"/>
          <w:szCs w:val="32"/>
        </w:rPr>
        <w:t xml:space="preserve">   </w:t>
      </w:r>
      <w:r>
        <w:rPr>
          <w:rFonts w:hint="eastAsia" w:ascii="楷体" w:hAnsi="楷体" w:eastAsia="楷体" w:cs="楷体"/>
          <w:sz w:val="32"/>
          <w:szCs w:val="32"/>
        </w:rPr>
        <w:t xml:space="preserve"> （二）财政拨款“三公”经费支出决算具体情况说明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年度财政拨款“三公”经费支出决算中，因公出国（境）费支出决算</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万元，；公务用车购置及运行维护费支出决算</w:t>
      </w:r>
      <w:r>
        <w:rPr>
          <w:rFonts w:hint="default" w:ascii="仿宋_GB2312" w:hAnsi="ˎ̥" w:eastAsia="仿宋_GB2312"/>
          <w:color w:val="FF0000"/>
          <w:sz w:val="32"/>
          <w:szCs w:val="32"/>
          <w:lang w:val="en-US"/>
        </w:rPr>
        <w:t>2.47</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100</w:t>
      </w:r>
      <w:r>
        <w:rPr>
          <w:rFonts w:hint="eastAsia" w:ascii="仿宋_GB2312" w:hAnsi="ˎ̥" w:eastAsia="仿宋_GB2312"/>
          <w:sz w:val="32"/>
          <w:szCs w:val="32"/>
        </w:rPr>
        <w:t>%；公务接待费支出决算</w:t>
      </w:r>
      <w:r>
        <w:rPr>
          <w:rFonts w:hint="default" w:ascii="仿宋_GB2312" w:hAnsi="ˎ̥" w:eastAsia="仿宋_GB2312"/>
          <w:color w:val="FF0000"/>
          <w:sz w:val="32"/>
          <w:szCs w:val="32"/>
          <w:lang w:val="en-US"/>
        </w:rPr>
        <w:t>0.00</w:t>
      </w:r>
      <w:r>
        <w:rPr>
          <w:rFonts w:hint="eastAsia" w:ascii="仿宋_GB2312" w:hAnsi="ˎ̥" w:eastAsia="仿宋_GB2312"/>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sz w:val="32"/>
          <w:szCs w:val="32"/>
        </w:rPr>
      </w:pPr>
      <w:r>
        <w:rPr>
          <w:rFonts w:hint="eastAsia" w:ascii="仿宋_GB2312" w:hAnsi="ˎ̥" w:eastAsia="仿宋_GB2312"/>
          <w:b/>
          <w:sz w:val="32"/>
          <w:szCs w:val="32"/>
        </w:rPr>
        <w:t xml:space="preserve">    2.公务用车购置及运行维护费</w:t>
      </w:r>
      <w:r>
        <w:rPr>
          <w:rFonts w:hint="eastAsia" w:ascii="仿宋_GB2312" w:hAnsi="ˎ̥" w:eastAsia="仿宋_GB2312"/>
          <w:b w:val="0"/>
          <w:bCs/>
          <w:sz w:val="32"/>
          <w:szCs w:val="32"/>
        </w:rPr>
        <w:t>支出</w:t>
      </w:r>
      <w:r>
        <w:rPr>
          <w:rFonts w:hint="default" w:ascii="仿宋_GB2312" w:hAnsi="ˎ̥" w:eastAsia="仿宋_GB2312"/>
          <w:color w:val="FF0000"/>
          <w:sz w:val="32"/>
          <w:szCs w:val="32"/>
          <w:lang w:val="en-US"/>
        </w:rPr>
        <w:t>2.47</w:t>
      </w:r>
      <w:r>
        <w:rPr>
          <w:rFonts w:hint="eastAsia" w:ascii="仿宋_GB2312" w:hAnsi="ˎ̥" w:eastAsia="仿宋_GB2312"/>
          <w:sz w:val="32"/>
          <w:szCs w:val="32"/>
        </w:rPr>
        <w:t>万元。其中：</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sz w:val="32"/>
          <w:szCs w:val="32"/>
        </w:rPr>
      </w:pPr>
      <w:r>
        <w:rPr>
          <w:rFonts w:hint="eastAsia" w:ascii="仿宋_GB2312" w:hAnsi="ˎ̥" w:eastAsia="仿宋_GB2312"/>
          <w:b/>
          <w:sz w:val="32"/>
          <w:szCs w:val="32"/>
        </w:rPr>
        <w:t>公务用车运行维护费</w:t>
      </w:r>
      <w:r>
        <w:rPr>
          <w:rFonts w:hint="eastAsia" w:ascii="仿宋_GB2312" w:hAnsi="ˎ̥" w:eastAsia="仿宋_GB2312"/>
          <w:sz w:val="32"/>
          <w:szCs w:val="32"/>
        </w:rPr>
        <w:t>支出</w:t>
      </w:r>
      <w:r>
        <w:rPr>
          <w:rFonts w:hint="default" w:ascii="仿宋_GB2312" w:hAnsi="ˎ̥" w:eastAsia="仿宋_GB2312"/>
          <w:color w:val="FF0000"/>
          <w:sz w:val="32"/>
          <w:szCs w:val="32"/>
          <w:lang w:val="en-US"/>
        </w:rPr>
        <w:t>2.47</w:t>
      </w:r>
      <w:r>
        <w:rPr>
          <w:rFonts w:hint="eastAsia" w:ascii="仿宋_GB2312" w:hAnsi="ˎ̥" w:eastAsia="仿宋_GB2312"/>
          <w:sz w:val="32"/>
          <w:szCs w:val="32"/>
        </w:rPr>
        <w:t>万元，主要用于</w:t>
      </w:r>
      <w:r>
        <w:rPr>
          <w:rFonts w:hint="eastAsia" w:ascii="仿宋_GB2312" w:hAnsi="ˎ̥" w:eastAsia="仿宋_GB2312"/>
          <w:sz w:val="32"/>
          <w:szCs w:val="32"/>
          <w:lang w:val="en-US" w:eastAsia="zh-CN"/>
        </w:rPr>
        <w:t>支出车辆油料费</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黑体" w:hAnsi="黑体" w:eastAsia="黑体" w:cs="黑体"/>
          <w:bCs/>
          <w:sz w:val="32"/>
          <w:szCs w:val="32"/>
        </w:rPr>
      </w:pPr>
      <w:r>
        <w:rPr>
          <w:rFonts w:hint="eastAsia" w:ascii="黑体" w:hAnsi="黑体" w:eastAsia="黑体" w:cs="黑体"/>
          <w:bCs/>
          <w:sz w:val="32"/>
          <w:szCs w:val="32"/>
        </w:rPr>
        <w:t>十、预算绩效情况说明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r>
        <w:rPr>
          <w:rFonts w:hint="eastAsia" w:ascii="楷体" w:hAnsi="楷体" w:eastAsia="楷体" w:cs="楷体"/>
          <w:bCs/>
          <w:sz w:val="32"/>
          <w:szCs w:val="32"/>
        </w:rPr>
        <w:t>（一）绩效管理工作开展情况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lang w:val="en-US" w:eastAsia="zh-CN"/>
        </w:rPr>
      </w:pPr>
      <w:r>
        <w:rPr>
          <w:rFonts w:hint="eastAsia" w:ascii="楷体" w:hAnsi="楷体" w:eastAsia="楷体" w:cs="楷体"/>
          <w:bCs/>
          <w:sz w:val="32"/>
          <w:szCs w:val="32"/>
          <w:lang w:val="en-US" w:eastAsia="zh-CN"/>
        </w:rPr>
        <w:t>2024年度我单位未进行绩效自评工作。</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楷体" w:hAnsi="楷体" w:eastAsia="楷体" w:cs="楷体"/>
          <w:bCs/>
          <w:sz w:val="32"/>
          <w:szCs w:val="32"/>
          <w:lang w:val="en-US" w:eastAsia="zh-CN"/>
        </w:rPr>
      </w:pPr>
      <w:r>
        <w:rPr>
          <w:rFonts w:hint="eastAsia" w:ascii="楷体" w:hAnsi="楷体" w:eastAsia="楷体" w:cs="楷体"/>
          <w:bCs/>
          <w:sz w:val="32"/>
          <w:szCs w:val="32"/>
          <w:lang w:val="en-US" w:eastAsia="zh-CN"/>
        </w:rPr>
        <w:t>下一步改进措施：一是强化责任意识；二是完善工作制度；三是加强业务培训；四是建立预警机制；五是严格考核问责。</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黑体" w:hAnsi="黑体" w:eastAsia="黑体" w:cs="黑体"/>
          <w:bCs/>
          <w:sz w:val="32"/>
          <w:szCs w:val="32"/>
        </w:rPr>
      </w:pPr>
      <w:r>
        <w:rPr>
          <w:rFonts w:hint="eastAsia" w:ascii="黑体" w:hAnsi="黑体" w:eastAsia="黑体" w:cs="黑体"/>
          <w:bCs/>
          <w:sz w:val="32"/>
          <w:szCs w:val="32"/>
        </w:rPr>
        <w:t>十一、其他重要事项情况说明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bookmarkStart w:id="97" w:name="_Toc15565_WPSOffice_Level2"/>
      <w:bookmarkStart w:id="98" w:name="_Toc32639_WPSOffice_Level2"/>
      <w:bookmarkStart w:id="99" w:name="_Toc18325_WPSOffice_Level2"/>
      <w:bookmarkStart w:id="100" w:name="_Toc15262_WPSOffice_Level2"/>
      <w:bookmarkStart w:id="101" w:name="_Toc23598_WPSOffice_Level2"/>
      <w:bookmarkStart w:id="102" w:name="_Toc5978_WPSOffice_Level2"/>
      <w:r>
        <w:rPr>
          <w:rFonts w:hint="eastAsia" w:ascii="楷体" w:hAnsi="楷体" w:eastAsia="楷体" w:cs="楷体"/>
          <w:bCs/>
          <w:sz w:val="32"/>
          <w:szCs w:val="32"/>
        </w:rPr>
        <w:t>（一）机关运行经费支出情况</w:t>
      </w:r>
      <w:bookmarkEnd w:id="97"/>
      <w:bookmarkEnd w:id="98"/>
      <w:bookmarkEnd w:id="99"/>
      <w:bookmarkEnd w:id="100"/>
      <w:bookmarkEnd w:id="101"/>
      <w:bookmarkEnd w:id="102"/>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lang w:bidi="ar"/>
        </w:rPr>
      </w:pPr>
      <w:r>
        <w:rPr>
          <w:rFonts w:hint="default" w:ascii="仿宋_GB2312" w:hAnsi="ˎ̥" w:eastAsia="仿宋_GB2312"/>
          <w:sz w:val="32"/>
          <w:szCs w:val="32"/>
          <w:lang w:val="en-US"/>
        </w:rPr>
        <w:t>2024</w:t>
      </w:r>
      <w:r>
        <w:rPr>
          <w:rFonts w:hint="eastAsia" w:ascii="仿宋_GB2312" w:hAnsi="ˎ̥" w:eastAsia="仿宋_GB2312"/>
          <w:sz w:val="32"/>
          <w:szCs w:val="32"/>
        </w:rPr>
        <w:t>年度</w:t>
      </w:r>
      <w:r>
        <w:rPr>
          <w:rFonts w:hint="eastAsia" w:ascii="仿宋_GB2312" w:hAnsi="ˎ̥" w:eastAsia="仿宋_GB2312"/>
          <w:color w:val="FF0000"/>
          <w:sz w:val="32"/>
          <w:szCs w:val="32"/>
          <w:lang w:val="en-US" w:eastAsia="zh-CN"/>
        </w:rPr>
        <w:t>申扎县人社局</w:t>
      </w:r>
      <w:r>
        <w:rPr>
          <w:rFonts w:hint="eastAsia" w:ascii="仿宋_GB2312" w:hAnsi="ˎ̥" w:eastAsia="仿宋_GB2312"/>
          <w:sz w:val="32"/>
          <w:szCs w:val="32"/>
        </w:rPr>
        <w:t>部门（单位）机关运行经费</w:t>
      </w:r>
      <w:r>
        <w:rPr>
          <w:rFonts w:hint="eastAsia" w:ascii="仿宋_GB2312" w:hAnsi="ˎ̥" w:eastAsia="仿宋_GB2312"/>
          <w:color w:val="FF0000"/>
          <w:sz w:val="32"/>
          <w:szCs w:val="32"/>
          <w:lang w:val="en-US" w:eastAsia="zh-CN"/>
        </w:rPr>
        <w:t>19.32</w:t>
      </w:r>
      <w:r>
        <w:rPr>
          <w:rFonts w:hint="eastAsia" w:ascii="仿宋_GB2312" w:hAnsi="ˎ̥" w:eastAsia="仿宋_GB2312"/>
          <w:sz w:val="32"/>
          <w:szCs w:val="32"/>
        </w:rPr>
        <w:t>万元（为部门决算中行政单位和参公事业单位财政拨款基本支出中公用经费支出之和，事业单位没有机关运行经费支出），比年初预算增加</w:t>
      </w:r>
      <w:r>
        <w:rPr>
          <w:rFonts w:hint="eastAsia" w:ascii="仿宋_GB2312" w:hAnsi="ˎ̥" w:eastAsia="仿宋_GB2312"/>
          <w:sz w:val="32"/>
          <w:szCs w:val="32"/>
          <w:lang w:val="en-US" w:eastAsia="zh-CN"/>
        </w:rPr>
        <w:t>0</w:t>
      </w:r>
      <w:r>
        <w:rPr>
          <w:rFonts w:hint="eastAsia" w:ascii="仿宋_GB2312" w:hAnsi="ˎ̥" w:eastAsia="仿宋_GB2312"/>
          <w:sz w:val="32"/>
          <w:szCs w:val="32"/>
        </w:rPr>
        <w:t>万元，</w:t>
      </w:r>
      <w:r>
        <w:rPr>
          <w:rFonts w:hint="eastAsia" w:ascii="仿宋_GB2312" w:hAnsi="ˎ̥" w:eastAsia="仿宋_GB2312"/>
          <w:sz w:val="32"/>
          <w:szCs w:val="32"/>
          <w:lang w:val="en-US" w:eastAsia="zh-CN"/>
        </w:rPr>
        <w:t>完成预算的</w:t>
      </w:r>
      <w:r>
        <w:rPr>
          <w:rFonts w:hint="eastAsia" w:ascii="仿宋_GB2312" w:hAnsi="ˎ̥" w:eastAsia="仿宋_GB2312"/>
          <w:color w:val="FF0000"/>
          <w:sz w:val="32"/>
          <w:szCs w:val="32"/>
          <w:lang w:val="en-US" w:eastAsia="zh-CN"/>
        </w:rPr>
        <w:t>100</w:t>
      </w:r>
      <w:r>
        <w:rPr>
          <w:rFonts w:hint="eastAsia" w:ascii="仿宋_GB2312" w:hAnsi="ˎ̥" w:eastAsia="仿宋_GB2312"/>
          <w:sz w:val="32"/>
          <w:szCs w:val="32"/>
        </w:rPr>
        <w:t>%</w:t>
      </w:r>
      <w:r>
        <w:rPr>
          <w:rFonts w:hint="eastAsia" w:ascii="仿宋_GB2312" w:hAnsi="ˎ̥" w:eastAsia="仿宋_GB2312"/>
          <w:sz w:val="32"/>
          <w:szCs w:val="32"/>
          <w:lang w:eastAsia="zh-CN"/>
        </w:rPr>
        <w:t>；</w:t>
      </w:r>
      <w:r>
        <w:rPr>
          <w:rFonts w:hint="eastAsia" w:ascii="仿宋_GB2312" w:hAnsi="ˎ̥" w:eastAsia="仿宋_GB2312"/>
          <w:sz w:val="32"/>
          <w:szCs w:val="32"/>
          <w:lang w:val="en-US" w:eastAsia="zh-CN"/>
        </w:rPr>
        <w:t>与2023年度相比，机关运行经费</w:t>
      </w:r>
      <w:r>
        <w:rPr>
          <w:rFonts w:hint="eastAsia" w:ascii="仿宋_GB2312" w:hAnsi="ˎ̥" w:eastAsia="仿宋_GB2312"/>
          <w:sz w:val="32"/>
          <w:szCs w:val="32"/>
        </w:rPr>
        <w:t>增加</w:t>
      </w:r>
      <w:r>
        <w:rPr>
          <w:rFonts w:hint="eastAsia" w:ascii="仿宋_GB2312" w:hAnsi="ˎ̥" w:eastAsia="仿宋_GB2312"/>
          <w:color w:val="FF0000"/>
          <w:sz w:val="32"/>
          <w:szCs w:val="32"/>
          <w:lang w:val="en-US" w:eastAsia="zh-CN"/>
        </w:rPr>
        <w:t>8.22</w:t>
      </w:r>
      <w:r>
        <w:rPr>
          <w:rFonts w:hint="eastAsia" w:ascii="仿宋_GB2312" w:hAnsi="ˎ̥" w:eastAsia="仿宋_GB2312"/>
          <w:sz w:val="32"/>
          <w:szCs w:val="32"/>
        </w:rPr>
        <w:t>万元</w:t>
      </w:r>
      <w:r>
        <w:rPr>
          <w:rFonts w:hint="eastAsia" w:ascii="仿宋_GB2312" w:hAnsi="ˎ̥" w:eastAsia="仿宋_GB2312"/>
          <w:sz w:val="32"/>
          <w:szCs w:val="32"/>
          <w:lang w:eastAsia="zh-CN"/>
        </w:rPr>
        <w:t>，</w:t>
      </w:r>
      <w:r>
        <w:rPr>
          <w:rFonts w:hint="eastAsia" w:ascii="仿宋_GB2312" w:hAnsi="ˎ̥" w:eastAsia="仿宋_GB2312"/>
          <w:sz w:val="32"/>
          <w:szCs w:val="32"/>
          <w:lang w:val="en-US" w:eastAsia="zh-CN"/>
        </w:rPr>
        <w:t>增长</w:t>
      </w:r>
      <w:r>
        <w:rPr>
          <w:rFonts w:hint="eastAsia" w:ascii="仿宋_GB2312" w:hAnsi="ˎ̥" w:eastAsia="仿宋_GB2312"/>
          <w:color w:val="FF0000"/>
          <w:sz w:val="32"/>
          <w:szCs w:val="32"/>
          <w:lang w:val="en-US" w:eastAsia="zh-CN"/>
        </w:rPr>
        <w:t>74</w:t>
      </w:r>
      <w:r>
        <w:rPr>
          <w:rFonts w:hint="eastAsia" w:ascii="仿宋_GB2312" w:hAnsi="ˎ̥" w:eastAsia="仿宋_GB2312"/>
          <w:sz w:val="32"/>
          <w:szCs w:val="32"/>
          <w:lang w:val="en-US" w:eastAsia="zh-CN"/>
        </w:rPr>
        <w:t>%。</w:t>
      </w:r>
      <w:r>
        <w:rPr>
          <w:rFonts w:hint="eastAsia" w:ascii="仿宋_GB2312" w:hAnsi="ˎ̥" w:eastAsia="仿宋_GB2312"/>
          <w:sz w:val="32"/>
          <w:szCs w:val="32"/>
        </w:rPr>
        <w:t>主要原因是：</w:t>
      </w:r>
      <w:r>
        <w:rPr>
          <w:rFonts w:hint="eastAsia" w:ascii="仿宋_GB2312" w:hAnsi="ˎ̥" w:eastAsia="仿宋_GB2312"/>
          <w:sz w:val="32"/>
          <w:szCs w:val="32"/>
          <w:lang w:bidi="ar"/>
        </w:rPr>
        <w:t>人员编制数量增加</w:t>
      </w:r>
      <w:bookmarkStart w:id="103" w:name="_Toc30383_WPSOffice_Level2"/>
      <w:bookmarkStart w:id="104" w:name="_Toc13084_WPSOffice_Level2"/>
      <w:bookmarkStart w:id="105" w:name="_Toc3131_WPSOffice_Level2"/>
      <w:bookmarkStart w:id="106" w:name="_Toc25333_WPSOffice_Level2"/>
      <w:bookmarkStart w:id="107" w:name="_Toc32689_WPSOffice_Level2"/>
      <w:bookmarkStart w:id="108" w:name="_Toc23966_WPSOffice_Level2"/>
    </w:p>
    <w:bookmarkEnd w:id="103"/>
    <w:bookmarkEnd w:id="104"/>
    <w:bookmarkEnd w:id="105"/>
    <w:bookmarkEnd w:id="106"/>
    <w:bookmarkEnd w:id="107"/>
    <w:bookmarkEnd w:id="108"/>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bookmarkStart w:id="109" w:name="_Toc17580_WPSOffice_Level1"/>
      <w:bookmarkStart w:id="110" w:name="_Toc8874_WPSOffice_Level1"/>
      <w:bookmarkStart w:id="111" w:name="_Toc4398_WPSOffice_Level1"/>
      <w:bookmarkStart w:id="112" w:name="_Toc11039_WPSOffice_Level1"/>
      <w:bookmarkStart w:id="113" w:name="_Toc8808_WPSOffice_Level1"/>
      <w:bookmarkStart w:id="114" w:name="_Toc15425_WPSOffice_Level1"/>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r>
        <w:rPr>
          <w:rFonts w:hint="eastAsia" w:ascii="黑体" w:hAnsi="ˎ̥" w:eastAsia="黑体"/>
          <w:sz w:val="32"/>
          <w:szCs w:val="32"/>
        </w:rPr>
        <w:t>第四部分  名词解释</w:t>
      </w:r>
      <w:bookmarkEnd w:id="109"/>
      <w:bookmarkEnd w:id="110"/>
      <w:bookmarkEnd w:id="111"/>
      <w:bookmarkEnd w:id="112"/>
      <w:bookmarkEnd w:id="113"/>
      <w:bookmarkEnd w:id="114"/>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p>
    <w:p>
      <w:pPr>
        <w:keepNext w:val="0"/>
        <w:keepLines w:val="0"/>
        <w:pageBreakBefore w:val="0"/>
        <w:widowControl w:val="0"/>
        <w:numPr>
          <w:ilvl w:val="0"/>
          <w:numId w:val="3"/>
        </w:numPr>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财政拨款收入：指同级政府财政部门当年拨付的各类财政拨款。</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二、上级补助收入：指事业单位从主管部门和上级单位取得的非财政补助收入。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三、事业收入：指事业单位开展专业业务活动及辅助活动取得的收入。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四、经营收入：指事业单位在专业业务活动及其辅助活动之外开展非独立核算经营活动取得的收入。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五、附属单位上缴收入：指事业单位取得附属独立核算单位根据有关规定上缴的收入。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六、其他收入：指除上述“财政拨款收入”“事业收入”“上级补助收入”“经营收入”“附属单位上缴收入”等以外的收入。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七、使用非财政拨款结余：指事业单位在当年的“财政拨款收入”“事业收入”“经营收入”“其他收入”等不足以安排当年支出的情况下，使用非同级财政拨款结余资金弥补本年度收支缺口。</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八、年初结转和结余：指以前年度尚未完成、结转到本年按有关规定继续使用的资金，或项目已完成等产生的结余资金。</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九、结余分配：指事业单位缴纳企业所得税以及从非财政拨款结余或经营结余中提取各类结余的情况。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十、年末结转和结余：指本年度或以前年度预算安排、因客观条件发生变化无法按原计划实施，需要延迟到以后年度按有关规定继续使用的资金（不包括事业单位非财政拨款结余和专用结余）。</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十一、基本支出：指为保障机构正常运转、完成日常工作任务而发生的人员支出和公用支出。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十二、项目支出：指在基本支出之外为完成特定行政任务和事业发展目标所发生的支出。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十三、经营支出：指事业单位在专业业务活动及其辅助活动之外开展非独立核算经营活动发生的支出。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四、“三公”经费：纳入本级财政预决算管理的“三公”经费，是指用一般公共预算财政拨款、政府性基金预算财政拨款及国有资本经营预算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及燃料费、维修费、过路过桥费、保险费、安全奖励费用等支出；公务接待费反映单位按规定开支的各类公务接待（含外宾接待）费用。</w:t>
      </w:r>
    </w:p>
    <w:p>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hint="eastAsia" w:ascii="仿宋_GB2312" w:hAnsi="ˎ̥" w:eastAsia="仿宋_GB2312"/>
          <w:sz w:val="32"/>
          <w:szCs w:val="32"/>
        </w:rPr>
      </w:pPr>
      <w:r>
        <w:rPr>
          <w:rFonts w:hint="eastAsia" w:ascii="仿宋_GB2312" w:hAnsi="ˎ̥" w:eastAsia="仿宋_GB2312"/>
          <w:sz w:val="32"/>
          <w:szCs w:val="32"/>
        </w:rPr>
        <w:t>十五、机关运行经费：为保障行政单位（含参照公务员法管理的事业单位）运行使用一般公共预算财政拨款安排的基本支出经费用于购买货物和服务的各项资金，包括办公及印刷费、邮电费、差旅费、会议费、福利费、日常维修费、专用材料及一般设备购置费、办公用房水电费、办公用房取暖费、办公用房物业管理费、公务用车运行维护费以及其他费用等。</w:t>
      </w:r>
    </w:p>
    <w:p>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ascii="仿宋_GB2312" w:hAnsi="ˎ̥" w:eastAsia="仿宋_GB2312"/>
          <w:sz w:val="32"/>
          <w:szCs w:val="32"/>
        </w:rPr>
      </w:pPr>
      <w:r>
        <w:rPr>
          <w:rFonts w:hint="eastAsia" w:ascii="仿宋_GB2312" w:hAnsi="ˎ̥" w:eastAsia="仿宋_GB2312"/>
          <w:sz w:val="32"/>
          <w:szCs w:val="32"/>
        </w:rPr>
        <w:t>十六、</w:t>
      </w:r>
      <w:r>
        <w:rPr>
          <w:rFonts w:ascii="仿宋_GB2312" w:hAnsi="ˎ̥" w:eastAsia="仿宋_GB2312"/>
          <w:sz w:val="32"/>
          <w:szCs w:val="32"/>
        </w:rPr>
        <w:t>支出功能分类：</w:t>
      </w:r>
    </w:p>
    <w:p>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hint="eastAsia" w:ascii="仿宋_GB2312" w:hAnsi="ˎ̥" w:eastAsia="仿宋_GB2312"/>
          <w:b/>
          <w:sz w:val="32"/>
          <w:szCs w:val="32"/>
        </w:rPr>
      </w:pPr>
      <w:r>
        <w:rPr>
          <w:rFonts w:hint="eastAsia" w:ascii="仿宋_GB2312" w:hAnsi="ˎ̥" w:eastAsia="仿宋_GB2312"/>
          <w:b/>
          <w:sz w:val="32"/>
          <w:szCs w:val="32"/>
        </w:rPr>
        <w:t>一般公共服务（类）人大事务（款）行政运行（项）</w:t>
      </w:r>
    </w:p>
    <w:p>
      <w:pPr>
        <w:keepNext w:val="0"/>
        <w:keepLines w:val="0"/>
        <w:pageBreakBefore w:val="0"/>
        <w:widowControl w:val="0"/>
        <w:kinsoku/>
        <w:wordWrap/>
        <w:overflowPunct/>
        <w:topLinePunct w:val="0"/>
        <w:autoSpaceDE/>
        <w:autoSpaceDN/>
        <w:bidi w:val="0"/>
        <w:adjustRightInd/>
        <w:snapToGrid/>
        <w:spacing w:line="578" w:lineRule="exact"/>
        <w:textAlignment w:val="auto"/>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支出功能分类的名词解释，各</w:t>
      </w:r>
      <w:r>
        <w:rPr>
          <w:rFonts w:hint="eastAsia" w:ascii="仿宋_GB2312" w:hAnsi="ˎ̥" w:eastAsia="仿宋_GB2312"/>
          <w:sz w:val="32"/>
          <w:szCs w:val="32"/>
          <w:lang w:val="en-US" w:eastAsia="zh-CN"/>
        </w:rPr>
        <w:t>预算</w:t>
      </w:r>
      <w:r>
        <w:rPr>
          <w:rFonts w:hint="eastAsia" w:ascii="仿宋_GB2312" w:hAnsi="ˎ̥" w:eastAsia="仿宋_GB2312"/>
          <w:sz w:val="32"/>
          <w:szCs w:val="32"/>
        </w:rPr>
        <w:t>部门</w:t>
      </w:r>
      <w:r>
        <w:rPr>
          <w:rFonts w:hint="eastAsia" w:ascii="仿宋_GB2312" w:hAnsi="ˎ̥" w:eastAsia="仿宋_GB2312"/>
          <w:sz w:val="32"/>
          <w:szCs w:val="32"/>
          <w:lang w:eastAsia="zh-CN"/>
        </w:rPr>
        <w:t>、</w:t>
      </w:r>
      <w:r>
        <w:rPr>
          <w:rFonts w:hint="eastAsia" w:ascii="仿宋_GB2312" w:hAnsi="ˎ̥" w:eastAsia="仿宋_GB2312"/>
          <w:sz w:val="32"/>
          <w:szCs w:val="32"/>
        </w:rPr>
        <w:t>单位根据实际支出情况填列，可参阅财政部印发的《</w:t>
      </w:r>
      <w:r>
        <w:rPr>
          <w:rFonts w:hint="default" w:ascii="仿宋_GB2312" w:hAnsi="ˎ̥" w:eastAsia="仿宋_GB2312"/>
          <w:sz w:val="32"/>
          <w:szCs w:val="32"/>
          <w:lang w:val="en-US"/>
        </w:rPr>
        <w:t>2024</w:t>
      </w:r>
      <w:r>
        <w:rPr>
          <w:rFonts w:hint="eastAsia" w:ascii="仿宋_GB2312" w:hAnsi="ˎ̥" w:eastAsia="仿宋_GB2312"/>
          <w:sz w:val="32"/>
          <w:szCs w:val="32"/>
        </w:rPr>
        <w:t>年政府收支分类科目》</w:t>
      </w:r>
      <w:r>
        <w:rPr>
          <w:rFonts w:hint="eastAsia" w:ascii="仿宋_GB2312" w:hAnsi="ˎ̥" w:eastAsia="仿宋_GB2312"/>
          <w:sz w:val="32"/>
          <w:szCs w:val="32"/>
          <w:lang w:eastAsia="zh-CN"/>
        </w:rPr>
        <w:t>。</w:t>
      </w:r>
      <w:r>
        <w:rPr>
          <w:rFonts w:hint="eastAsia" w:ascii="仿宋_GB2312" w:hAnsi="ˎ̥" w:eastAsia="仿宋_GB2312"/>
          <w:sz w:val="32"/>
          <w:szCs w:val="32"/>
        </w:rPr>
        <w:t>）</w:t>
      </w:r>
    </w:p>
    <w:sectPr>
      <w:footerReference r:id="rId3" w:type="default"/>
      <w:footerReference r:id="rId4" w:type="even"/>
      <w:pgSz w:w="11906" w:h="16838"/>
      <w:pgMar w:top="2098" w:right="1474" w:bottom="1984" w:left="158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ˎ̥">
    <w:altName w:val="微软雅黑"/>
    <w:panose1 w:val="00000000000000000000"/>
    <w:charset w:val="00"/>
    <w:family w:val="roman"/>
    <w:pitch w:val="default"/>
    <w:sig w:usb0="00000000" w:usb1="00000000" w:usb2="00000000" w:usb3="00000000" w:csb0="00040001"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fldChar w:fldCharType="begin"/>
    </w:r>
    <w:r>
      <w:rPr>
        <w:rStyle w:val="9"/>
      </w:rPr>
      <w:instrText xml:space="preserve">PAGE  </w:instrText>
    </w:r>
    <w:r>
      <w:fldChar w:fldCharType="separate"/>
    </w:r>
    <w:r>
      <w:rPr>
        <w:rStyle w:val="9"/>
      </w:rPr>
      <w:t>18</w:t>
    </w:r>
    <w:r>
      <w:fldChar w:fldCharType="end"/>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fldChar w:fldCharType="begin"/>
    </w:r>
    <w:r>
      <w:rPr>
        <w:rStyle w:val="9"/>
      </w:rPr>
      <w:instrText xml:space="preserve">PAGE  </w:instrText>
    </w:r>
    <w:r>
      <w:fldChar w:fldCharType="separate"/>
    </w:r>
    <w:r>
      <w:fldChar w:fldCharType="end"/>
    </w:r>
  </w:p>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FC2DCC"/>
    <w:multiLevelType w:val="singleLevel"/>
    <w:tmpl w:val="AFFC2DCC"/>
    <w:lvl w:ilvl="0" w:tentative="0">
      <w:start w:val="1"/>
      <w:numFmt w:val="chineseCounting"/>
      <w:suff w:val="nothing"/>
      <w:lvlText w:val="%1、"/>
      <w:lvlJc w:val="left"/>
      <w:rPr>
        <w:rFonts w:hint="eastAsia"/>
      </w:rPr>
    </w:lvl>
  </w:abstractNum>
  <w:abstractNum w:abstractNumId="1">
    <w:nsid w:val="5334B111"/>
    <w:multiLevelType w:val="singleLevel"/>
    <w:tmpl w:val="5334B111"/>
    <w:lvl w:ilvl="0" w:tentative="0">
      <w:start w:val="1"/>
      <w:numFmt w:val="decimal"/>
      <w:lvlText w:val="%1."/>
      <w:lvlJc w:val="left"/>
      <w:pPr>
        <w:tabs>
          <w:tab w:val="left" w:pos="312"/>
        </w:tabs>
      </w:pPr>
    </w:lvl>
  </w:abstractNum>
  <w:abstractNum w:abstractNumId="2">
    <w:nsid w:val="72109F8D"/>
    <w:multiLevelType w:val="singleLevel"/>
    <w:tmpl w:val="72109F8D"/>
    <w:lvl w:ilvl="0" w:tentative="0">
      <w:start w:val="7"/>
      <w:numFmt w:val="chineseCounting"/>
      <w:suff w:val="nothing"/>
      <w:lvlText w:val="%1、"/>
      <w:lvlJc w:val="left"/>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NjMjYzNTFjYWM5NWQzNzNmZjBmNDkzYzAxYWY5ZTAifQ=="/>
  </w:docVars>
  <w:rsids>
    <w:rsidRoot w:val="A7F73C99"/>
    <w:rsid w:val="00064A91"/>
    <w:rsid w:val="000718C4"/>
    <w:rsid w:val="000779B0"/>
    <w:rsid w:val="001E4E23"/>
    <w:rsid w:val="001E510D"/>
    <w:rsid w:val="001F28C1"/>
    <w:rsid w:val="001F4EC0"/>
    <w:rsid w:val="00213789"/>
    <w:rsid w:val="002A6E07"/>
    <w:rsid w:val="0034456B"/>
    <w:rsid w:val="003D2F77"/>
    <w:rsid w:val="004C755C"/>
    <w:rsid w:val="004D515A"/>
    <w:rsid w:val="004D5572"/>
    <w:rsid w:val="0050273F"/>
    <w:rsid w:val="00513897"/>
    <w:rsid w:val="00530C81"/>
    <w:rsid w:val="005C43A2"/>
    <w:rsid w:val="005E64FB"/>
    <w:rsid w:val="005F5987"/>
    <w:rsid w:val="00602EED"/>
    <w:rsid w:val="006B0D64"/>
    <w:rsid w:val="00731FC7"/>
    <w:rsid w:val="00740E64"/>
    <w:rsid w:val="00754F6E"/>
    <w:rsid w:val="007A4101"/>
    <w:rsid w:val="008232A9"/>
    <w:rsid w:val="00896ADB"/>
    <w:rsid w:val="009A2744"/>
    <w:rsid w:val="00A54A37"/>
    <w:rsid w:val="00A70448"/>
    <w:rsid w:val="00AA19F3"/>
    <w:rsid w:val="00AC28EE"/>
    <w:rsid w:val="00AC3F0E"/>
    <w:rsid w:val="00B36E61"/>
    <w:rsid w:val="00B409FF"/>
    <w:rsid w:val="00B4133E"/>
    <w:rsid w:val="00B54DE8"/>
    <w:rsid w:val="00B63E9E"/>
    <w:rsid w:val="00BC0439"/>
    <w:rsid w:val="00C04C21"/>
    <w:rsid w:val="00C7436A"/>
    <w:rsid w:val="00CA0F14"/>
    <w:rsid w:val="00CA536B"/>
    <w:rsid w:val="00CB0D1E"/>
    <w:rsid w:val="00CD6E49"/>
    <w:rsid w:val="00CD794A"/>
    <w:rsid w:val="00DB612B"/>
    <w:rsid w:val="00DC2A37"/>
    <w:rsid w:val="00E07782"/>
    <w:rsid w:val="00E70EA3"/>
    <w:rsid w:val="00F0336A"/>
    <w:rsid w:val="00F06DA9"/>
    <w:rsid w:val="00F103D6"/>
    <w:rsid w:val="00F25220"/>
    <w:rsid w:val="00FA2884"/>
    <w:rsid w:val="00FC03DC"/>
    <w:rsid w:val="00FC5708"/>
    <w:rsid w:val="09201287"/>
    <w:rsid w:val="0FC80124"/>
    <w:rsid w:val="10943E48"/>
    <w:rsid w:val="1167533E"/>
    <w:rsid w:val="12064AFA"/>
    <w:rsid w:val="136F98C7"/>
    <w:rsid w:val="17427E68"/>
    <w:rsid w:val="1755065F"/>
    <w:rsid w:val="19981C67"/>
    <w:rsid w:val="1AFC29C9"/>
    <w:rsid w:val="1CA52F2E"/>
    <w:rsid w:val="1D8C4418"/>
    <w:rsid w:val="1DFE370B"/>
    <w:rsid w:val="1E3630B9"/>
    <w:rsid w:val="20BD316F"/>
    <w:rsid w:val="230924E6"/>
    <w:rsid w:val="242806B3"/>
    <w:rsid w:val="24C745BD"/>
    <w:rsid w:val="26EEC2B5"/>
    <w:rsid w:val="29472309"/>
    <w:rsid w:val="2B406E77"/>
    <w:rsid w:val="2C2A0C43"/>
    <w:rsid w:val="2D1E73A5"/>
    <w:rsid w:val="32717154"/>
    <w:rsid w:val="3428494C"/>
    <w:rsid w:val="34B63260"/>
    <w:rsid w:val="34C45DAD"/>
    <w:rsid w:val="37FDA7E2"/>
    <w:rsid w:val="3A314D88"/>
    <w:rsid w:val="3A746883"/>
    <w:rsid w:val="3CA15DE9"/>
    <w:rsid w:val="3FE61EE5"/>
    <w:rsid w:val="406508EE"/>
    <w:rsid w:val="408D6263"/>
    <w:rsid w:val="41B40CEE"/>
    <w:rsid w:val="43F9627B"/>
    <w:rsid w:val="48317291"/>
    <w:rsid w:val="485F7024"/>
    <w:rsid w:val="48E70666"/>
    <w:rsid w:val="4C6877E5"/>
    <w:rsid w:val="4D6A468D"/>
    <w:rsid w:val="4EA86137"/>
    <w:rsid w:val="4EBE2807"/>
    <w:rsid w:val="4F857B04"/>
    <w:rsid w:val="50650662"/>
    <w:rsid w:val="56CA7FD0"/>
    <w:rsid w:val="577D44E3"/>
    <w:rsid w:val="57FA38D1"/>
    <w:rsid w:val="5BA25971"/>
    <w:rsid w:val="5D56179D"/>
    <w:rsid w:val="5D884F85"/>
    <w:rsid w:val="5F7D3333"/>
    <w:rsid w:val="61385890"/>
    <w:rsid w:val="687436E1"/>
    <w:rsid w:val="6DA45C50"/>
    <w:rsid w:val="6E9A7825"/>
    <w:rsid w:val="6F670F9B"/>
    <w:rsid w:val="6FB840D1"/>
    <w:rsid w:val="737450E0"/>
    <w:rsid w:val="73C079E8"/>
    <w:rsid w:val="74054476"/>
    <w:rsid w:val="742F38C4"/>
    <w:rsid w:val="74AB66DC"/>
    <w:rsid w:val="74C4154C"/>
    <w:rsid w:val="75956FFF"/>
    <w:rsid w:val="77AA2D01"/>
    <w:rsid w:val="79D27F2A"/>
    <w:rsid w:val="7A3B0007"/>
    <w:rsid w:val="7CDE1DBD"/>
    <w:rsid w:val="7D943A85"/>
    <w:rsid w:val="7DB0448C"/>
    <w:rsid w:val="7E5F9AA4"/>
    <w:rsid w:val="7F977441"/>
    <w:rsid w:val="8FFC8888"/>
    <w:rsid w:val="A7F73C99"/>
    <w:rsid w:val="BFFE3BF4"/>
    <w:rsid w:val="DFEBDA37"/>
    <w:rsid w:val="EF6FCA1D"/>
    <w:rsid w:val="EFFF57D6"/>
    <w:rsid w:val="FD33A2D0"/>
    <w:rsid w:val="FF7FA20F"/>
    <w:rsid w:val="FFFE81A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annotation text"/>
    <w:basedOn w:val="1"/>
    <w:link w:val="11"/>
    <w:qFormat/>
    <w:uiPriority w:val="0"/>
    <w:pPr>
      <w:jc w:val="left"/>
    </w:pPr>
  </w:style>
  <w:style w:type="paragraph" w:styleId="3">
    <w:name w:val="Balloon Text"/>
    <w:basedOn w:val="1"/>
    <w:link w:val="12"/>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4"/>
    <w:qFormat/>
    <w:uiPriority w:val="0"/>
    <w:rPr>
      <w:b/>
      <w:bCs/>
    </w:rPr>
  </w:style>
  <w:style w:type="character" w:styleId="9">
    <w:name w:val="page number"/>
    <w:qFormat/>
    <w:uiPriority w:val="0"/>
  </w:style>
  <w:style w:type="character" w:styleId="10">
    <w:name w:val="annotation reference"/>
    <w:qFormat/>
    <w:uiPriority w:val="0"/>
    <w:rPr>
      <w:sz w:val="21"/>
      <w:szCs w:val="21"/>
    </w:rPr>
  </w:style>
  <w:style w:type="character" w:customStyle="1" w:styleId="11">
    <w:name w:val="批注文字 Char"/>
    <w:link w:val="2"/>
    <w:qFormat/>
    <w:uiPriority w:val="0"/>
    <w:rPr>
      <w:kern w:val="2"/>
      <w:sz w:val="21"/>
      <w:szCs w:val="24"/>
    </w:rPr>
  </w:style>
  <w:style w:type="character" w:customStyle="1" w:styleId="12">
    <w:name w:val="批注框文本 Char"/>
    <w:link w:val="3"/>
    <w:qFormat/>
    <w:uiPriority w:val="0"/>
    <w:rPr>
      <w:kern w:val="2"/>
      <w:sz w:val="18"/>
      <w:szCs w:val="18"/>
    </w:rPr>
  </w:style>
  <w:style w:type="character" w:customStyle="1" w:styleId="13">
    <w:name w:val="页眉 Char"/>
    <w:link w:val="5"/>
    <w:qFormat/>
    <w:uiPriority w:val="0"/>
    <w:rPr>
      <w:kern w:val="2"/>
      <w:sz w:val="18"/>
      <w:szCs w:val="18"/>
    </w:rPr>
  </w:style>
  <w:style w:type="character" w:customStyle="1" w:styleId="14">
    <w:name w:val="批注主题 Char"/>
    <w:link w:val="6"/>
    <w:qFormat/>
    <w:uiPriority w:val="0"/>
    <w:rPr>
      <w:b/>
      <w:bCs/>
      <w:kern w:val="2"/>
      <w:sz w:val="21"/>
      <w:szCs w:val="24"/>
    </w:rPr>
  </w:style>
  <w:style w:type="paragraph" w:customStyle="1" w:styleId="15">
    <w:name w:val="WPSOffice手动目录 1"/>
    <w:qFormat/>
    <w:uiPriority w:val="0"/>
    <w:rPr>
      <w:rFonts w:ascii="Times New Roman" w:hAnsi="Times New Roman" w:eastAsia="宋体" w:cs="Times New Roman"/>
      <w:lang w:val="en-US" w:eastAsia="zh-CN" w:bidi="ar-SA"/>
    </w:rPr>
  </w:style>
  <w:style w:type="paragraph" w:customStyle="1" w:styleId="16">
    <w:name w:val="WPSOffice手动目录 2"/>
    <w:qFormat/>
    <w:uiPriority w:val="0"/>
    <w:pPr>
      <w:ind w:leftChars="200"/>
    </w:pPr>
    <w:rPr>
      <w:rFonts w:ascii="Times New Roman" w:hAnsi="Times New Roman" w:eastAsia="宋体" w:cs="Times New Roman"/>
      <w:lang w:val="en-US" w:eastAsia="zh-CN" w:bidi="ar-SA"/>
    </w:rPr>
  </w:style>
  <w:style w:type="paragraph" w:customStyle="1" w:styleId="17">
    <w:name w:val="正文1 Char Char Char"/>
    <w:basedOn w:val="1"/>
    <w:qFormat/>
    <w:uiPriority w:val="0"/>
    <w:pPr>
      <w:spacing w:line="360" w:lineRule="auto"/>
      <w:ind w:firstLine="20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4018</Words>
  <Characters>4435</Characters>
  <Lines>67</Lines>
  <Paragraphs>18</Paragraphs>
  <TotalTime>0</TotalTime>
  <ScaleCrop>false</ScaleCrop>
  <LinksUpToDate>false</LinksUpToDate>
  <CharactersWithSpaces>4570</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2024-07-24T03:26:00Z</dcterms:created>
  <dc:creator>uos</dc:creator>
  <cp:lastModifiedBy>HP</cp:lastModifiedBy>
  <cp:lastPrinted>2023-08-03T00:58:00Z</cp:lastPrinted>
  <dcterms:modified xsi:type="dcterms:W3CDTF">2026-01-20T02:47:42Z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03AE7F14E2DC4BACB053764200FF950D_13</vt:lpwstr>
  </property>
  <property fmtid="{D5CDD505-2E9C-101B-9397-08002B2CF9AE}" pid="4" name="KSOTemplateDocerSaveRecord">
    <vt:lpwstr>eyJoZGlkIjoiY2VlZThlZDk5ZTQ4MTFjNGY3MjIxNTdiOWMzZmQwMWMiLCJ1c2VySWQiOiIyMzQ5MTc1OTYifQ==</vt:lpwstr>
  </property>
</Properties>
</file>