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申扎县公安局2024年度部门决算公开报告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720_WPSOffice_Level1"/>
      <w:bookmarkStart w:id="3" w:name="_Toc23465_WPSOffice_Level1"/>
      <w:bookmarkStart w:id="4" w:name="_Toc32433_WPSOffice_Level1"/>
      <w:bookmarkStart w:id="5" w:name="_Toc22941_WPSOffice_Level1"/>
      <w:bookmarkStart w:id="6" w:name="_Toc1704_WPSOffice_Level1"/>
      <w:bookmarkStart w:id="7" w:name="_Toc10049_WPSOffice_Level1"/>
      <w:bookmarkStart w:id="8" w:name="_Toc24238_WPSOffice_Level2"/>
      <w:bookmarkStart w:id="9" w:name="_Toc20274_WPSOffice_Level2"/>
      <w:bookmarkStart w:id="10" w:name="_Toc20205_WPSOffice_Level2"/>
      <w:bookmarkStart w:id="11" w:name="_Toc14159_WPSOffice_Level2"/>
      <w:bookmarkStart w:id="12" w:name="_Toc32622_WPSOffice_Level2"/>
      <w:bookmarkStart w:id="13" w:name="_Toc26580_WPSOffice_Level2"/>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6572_WPSOffice_Level2"/>
      <w:bookmarkStart w:id="15" w:name="_Toc24059_WPSOffice_Level2"/>
      <w:bookmarkStart w:id="16" w:name="_Toc4833_WPSOffice_Level2"/>
      <w:bookmarkStart w:id="17" w:name="_Toc17796_WPSOffice_Level2"/>
      <w:bookmarkStart w:id="18" w:name="_Toc24474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eastAsia="zh-CN"/>
        </w:rPr>
        <w:t>申扎县公安局</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个，包括：</w:t>
      </w:r>
    </w:p>
    <w:p>
      <w:pPr>
        <w:spacing w:line="578" w:lineRule="exact"/>
        <w:ind w:firstLine="640" w:firstLineChars="200"/>
        <w:rPr>
          <w:rFonts w:hint="eastAsia" w:ascii="方正楷体_GBK" w:hAnsi="方正楷体_GBK" w:eastAsia="方正楷体_GBK" w:cs="方正楷体_GBK"/>
          <w:sz w:val="32"/>
          <w:szCs w:val="32"/>
        </w:rPr>
      </w:pPr>
      <w:bookmarkStart w:id="19" w:name="_Toc24421_WPSOffice_Level2"/>
      <w:bookmarkStart w:id="20" w:name="_Toc25738_WPSOffice_Level2"/>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color w:val="FF0000"/>
          <w:sz w:val="32"/>
          <w:szCs w:val="32"/>
          <w:lang w:val="en-US" w:eastAsia="zh-CN"/>
        </w:rPr>
        <w:t>9</w:t>
      </w:r>
      <w:r>
        <w:rPr>
          <w:rFonts w:hint="eastAsia" w:ascii="方正楷体_GBK" w:hAnsi="方正楷体_GBK" w:eastAsia="方正楷体_GBK" w:cs="方正楷体_GBK"/>
          <w:sz w:val="32"/>
          <w:szCs w:val="32"/>
        </w:rPr>
        <w:t>部门本级</w:t>
      </w:r>
      <w:bookmarkEnd w:id="19"/>
      <w:bookmarkEnd w:id="20"/>
    </w:p>
    <w:p>
      <w:pPr>
        <w:spacing w:line="588" w:lineRule="exact"/>
        <w:ind w:firstLine="640" w:firstLineChars="200"/>
        <w:rPr>
          <w:rFonts w:eastAsia="仿宋"/>
          <w:sz w:val="32"/>
          <w:szCs w:val="32"/>
        </w:rPr>
      </w:pPr>
      <w:bookmarkStart w:id="21" w:name="_Toc4442_WPSOffice_Level2"/>
      <w:bookmarkStart w:id="22" w:name="_Toc19721_WPSOffice_Level2"/>
      <w:r>
        <w:rPr>
          <w:rFonts w:hint="eastAsia" w:ascii="方正楷体_GBK" w:hAnsi="方正楷体_GBK" w:eastAsia="方正楷体_GBK" w:cs="方正楷体_GBK"/>
          <w:sz w:val="32"/>
          <w:szCs w:val="32"/>
        </w:rPr>
        <w:t>（二）</w:t>
      </w:r>
      <w:r>
        <w:rPr>
          <w:rFonts w:hint="eastAsia" w:ascii="方正楷体_GBK" w:hAnsi="方正楷体_GBK" w:eastAsia="方正楷体_GBK" w:cs="方正楷体_GBK"/>
          <w:color w:val="FF0000"/>
          <w:sz w:val="32"/>
          <w:szCs w:val="32"/>
          <w:lang w:val="en-US" w:eastAsia="zh-CN"/>
        </w:rPr>
        <w:t>13</w:t>
      </w:r>
      <w:r>
        <w:rPr>
          <w:rFonts w:hint="eastAsia" w:ascii="方正楷体_GBK" w:hAnsi="方正楷体_GBK" w:eastAsia="方正楷体_GBK" w:cs="方正楷体_GBK"/>
          <w:sz w:val="32"/>
          <w:szCs w:val="32"/>
        </w:rPr>
        <w:t>下属单位</w:t>
      </w:r>
      <w:bookmarkEnd w:id="21"/>
      <w:bookmarkEnd w:id="22"/>
      <w:r>
        <w:rPr>
          <w:rFonts w:hint="eastAsia" w:ascii="方正楷体_GBK" w:hAnsi="方正楷体_GBK" w:eastAsia="方正楷体_GBK" w:cs="方正楷体_GBK"/>
          <w:sz w:val="32"/>
          <w:szCs w:val="32"/>
          <w:lang w:eastAsia="zh-CN"/>
        </w:rPr>
        <w:t>（派出机构）</w:t>
      </w:r>
      <w:r>
        <w:rPr>
          <w:rFonts w:hint="eastAsia" w:eastAsia="仿宋"/>
          <w:sz w:val="32"/>
          <w:szCs w:val="32"/>
        </w:rPr>
        <w:t>（申扎镇派出所、雄梅镇派出所、塔尔玛乡派出所、买巴乡派出所、马跃乡派出所、巴扎乡派出所、下过乡派出所、卡乡派出所</w:t>
      </w:r>
      <w:r>
        <w:rPr>
          <w:rFonts w:hint="eastAsia" w:eastAsia="仿宋"/>
          <w:sz w:val="32"/>
          <w:szCs w:val="32"/>
          <w:lang w:eastAsia="zh-CN"/>
        </w:rPr>
        <w:t>、</w:t>
      </w:r>
      <w:r>
        <w:rPr>
          <w:rFonts w:hint="eastAsia" w:eastAsia="仿宋"/>
          <w:sz w:val="32"/>
          <w:szCs w:val="32"/>
          <w:lang w:val="en-US" w:eastAsia="zh-CN"/>
        </w:rPr>
        <w:t>左窝库警务站、扎西路警务站、甲仁路警务站、中信路警务站、塔尔玛二级公安检查站</w:t>
      </w:r>
      <w:r>
        <w:rPr>
          <w:rFonts w:hint="eastAsia" w:eastAsia="仿宋"/>
          <w:sz w:val="32"/>
          <w:szCs w:val="32"/>
        </w:rPr>
        <w:t>）直属机构：共有直属机构</w:t>
      </w:r>
      <w:r>
        <w:rPr>
          <w:rFonts w:hint="eastAsia" w:eastAsia="仿宋"/>
          <w:sz w:val="32"/>
          <w:szCs w:val="32"/>
          <w:lang w:val="en-US" w:eastAsia="zh-CN"/>
        </w:rPr>
        <w:t>1</w:t>
      </w:r>
      <w:r>
        <w:rPr>
          <w:rFonts w:hint="eastAsia" w:eastAsia="仿宋"/>
          <w:sz w:val="32"/>
          <w:szCs w:val="32"/>
        </w:rPr>
        <w:t>个（</w:t>
      </w:r>
      <w:r>
        <w:rPr>
          <w:rFonts w:hint="eastAsia" w:eastAsia="仿宋"/>
          <w:sz w:val="32"/>
          <w:szCs w:val="32"/>
          <w:lang w:val="en-US" w:eastAsia="zh-CN"/>
        </w:rPr>
        <w:t>看守所、拘留所</w:t>
      </w:r>
      <w:r>
        <w:rPr>
          <w:rFonts w:hint="eastAsia" w:eastAsia="仿宋"/>
          <w:sz w:val="32"/>
          <w:szCs w:val="32"/>
        </w:rPr>
        <w:t>）</w:t>
      </w:r>
    </w:p>
    <w:p>
      <w:pPr>
        <w:spacing w:line="578" w:lineRule="exact"/>
        <w:rPr>
          <w:rFonts w:hint="eastAsia"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hint="eastAsia" w:ascii="黑体" w:hAnsi="ˎ̥" w:eastAsia="黑体"/>
          <w:sz w:val="32"/>
          <w:szCs w:val="32"/>
        </w:rPr>
      </w:pPr>
      <w:bookmarkStart w:id="23" w:name="_Toc8164_WPSOffice_Level1"/>
      <w:bookmarkStart w:id="24" w:name="_Toc30690_WPSOffice_Level1"/>
      <w:bookmarkStart w:id="25" w:name="_Toc6234_WPSOffice_Level1"/>
      <w:bookmarkStart w:id="26" w:name="_Toc28253_WPSOffice_Level1"/>
      <w:bookmarkStart w:id="27" w:name="_Toc15521_WPSOffice_Level1"/>
      <w:bookmarkStart w:id="28" w:name="_Toc30451_WPSOffice_Level1"/>
      <w:bookmarkStart w:id="29" w:name="_Toc6211_WPSOffice_Level2"/>
      <w:bookmarkStart w:id="30" w:name="_Toc11518_WPSOffice_Level2"/>
      <w:bookmarkStart w:id="31" w:name="_Toc4029_WPSOffice_Level2"/>
      <w:bookmarkStart w:id="32" w:name="_Toc32472_WPSOffice_Level2"/>
      <w:bookmarkStart w:id="33" w:name="_Toc8867_WPSOffice_Level2"/>
      <w:bookmarkStart w:id="34" w:name="_Toc32695_WPSOffice_Level2"/>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3"/>
      <w:bookmarkEnd w:id="24"/>
      <w:bookmarkEnd w:id="25"/>
      <w:bookmarkEnd w:id="26"/>
      <w:bookmarkEnd w:id="27"/>
      <w:bookmarkEnd w:id="28"/>
    </w:p>
    <w:p>
      <w:pPr>
        <w:spacing w:line="578" w:lineRule="exact"/>
        <w:ind w:firstLine="645"/>
        <w:rPr>
          <w:rFonts w:hint="eastAsia" w:ascii="黑体" w:hAnsi="黑体" w:eastAsia="黑体" w:cs="黑体"/>
          <w:sz w:val="32"/>
          <w:szCs w:val="32"/>
        </w:rPr>
      </w:pPr>
      <w:bookmarkStart w:id="123" w:name="_GoBack"/>
      <w:bookmarkEnd w:id="123"/>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9"/>
      <w:bookmarkEnd w:id="30"/>
      <w:bookmarkEnd w:id="31"/>
      <w:bookmarkEnd w:id="32"/>
      <w:bookmarkEnd w:id="33"/>
      <w:bookmarkEnd w:id="34"/>
    </w:p>
    <w:p>
      <w:pPr>
        <w:spacing w:line="578" w:lineRule="exact"/>
        <w:ind w:firstLine="645"/>
        <w:rPr>
          <w:rFonts w:hint="eastAsia" w:ascii="黑体" w:hAnsi="黑体" w:eastAsia="黑体" w:cs="黑体"/>
          <w:sz w:val="32"/>
          <w:szCs w:val="32"/>
        </w:rPr>
      </w:pPr>
      <w:bookmarkStart w:id="35" w:name="_Toc14349_WPSOffice_Level2"/>
      <w:bookmarkStart w:id="36" w:name="_Toc25608_WPSOffice_Level2"/>
      <w:bookmarkStart w:id="37" w:name="_Toc28622_WPSOffice_Level2"/>
      <w:bookmarkStart w:id="38" w:name="_Toc30334_WPSOffice_Level2"/>
      <w:bookmarkStart w:id="39" w:name="_Toc26621_WPSOffice_Level2"/>
      <w:bookmarkStart w:id="40" w:name="_Toc23139_WPSOffice_Level2"/>
      <w:r>
        <w:rPr>
          <w:rFonts w:hint="eastAsia" w:ascii="黑体" w:hAnsi="黑体" w:eastAsia="黑体" w:cs="黑体"/>
          <w:sz w:val="32"/>
          <w:szCs w:val="32"/>
        </w:rPr>
        <w:t>二、收入决算公开表</w:t>
      </w:r>
      <w:bookmarkEnd w:id="35"/>
      <w:bookmarkEnd w:id="36"/>
      <w:bookmarkEnd w:id="37"/>
      <w:bookmarkEnd w:id="38"/>
      <w:bookmarkEnd w:id="39"/>
      <w:bookmarkEnd w:id="40"/>
      <w:bookmarkStart w:id="41" w:name="_Toc14658_WPSOffice_Level2"/>
      <w:bookmarkStart w:id="42" w:name="_Toc17858_WPSOffice_Level2"/>
      <w:bookmarkStart w:id="43" w:name="_Toc3262_WPSOffice_Level2"/>
      <w:bookmarkStart w:id="44" w:name="_Toc13854_WPSOffice_Level2"/>
      <w:bookmarkStart w:id="45" w:name="_Toc17626_WPSOffice_Level2"/>
      <w:bookmarkStart w:id="46" w:name="_Toc5489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41"/>
      <w:bookmarkEnd w:id="42"/>
      <w:bookmarkEnd w:id="43"/>
      <w:bookmarkEnd w:id="44"/>
      <w:bookmarkEnd w:id="45"/>
      <w:bookmarkEnd w:id="46"/>
      <w:bookmarkStart w:id="47" w:name="_Toc23591_WPSOffice_Level2"/>
      <w:bookmarkStart w:id="48" w:name="_Toc4265_WPSOffice_Level2"/>
      <w:bookmarkStart w:id="49" w:name="_Toc7988_WPSOffice_Level2"/>
      <w:bookmarkStart w:id="50" w:name="_Toc13701_WPSOffice_Level2"/>
      <w:bookmarkStart w:id="51" w:name="_Toc21415_WPSOffice_Level2"/>
      <w:bookmarkStart w:id="52" w:name="_Toc2349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7"/>
      <w:bookmarkEnd w:id="48"/>
      <w:bookmarkEnd w:id="49"/>
      <w:bookmarkEnd w:id="50"/>
      <w:bookmarkEnd w:id="51"/>
      <w:bookmarkEnd w:id="52"/>
    </w:p>
    <w:p>
      <w:pPr>
        <w:spacing w:line="578" w:lineRule="exact"/>
        <w:ind w:firstLine="645"/>
        <w:rPr>
          <w:rFonts w:hint="eastAsia" w:ascii="黑体" w:hAnsi="黑体" w:eastAsia="黑体" w:cs="黑体"/>
          <w:sz w:val="32"/>
          <w:szCs w:val="32"/>
        </w:rPr>
      </w:pPr>
      <w:bookmarkStart w:id="53" w:name="_Toc25166_WPSOffice_Level2"/>
      <w:bookmarkStart w:id="54" w:name="_Toc23829_WPSOffice_Level2"/>
      <w:bookmarkStart w:id="55" w:name="_Toc7879_WPSOffice_Level2"/>
      <w:bookmarkStart w:id="56" w:name="_Toc22783_WPSOffice_Level2"/>
      <w:bookmarkStart w:id="57" w:name="_Toc13516_WPSOffice_Level2"/>
      <w:bookmarkStart w:id="58" w:name="_Toc2158_WPSOffice_Level2"/>
      <w:r>
        <w:rPr>
          <w:rFonts w:hint="eastAsia" w:ascii="黑体" w:hAnsi="黑体" w:eastAsia="黑体" w:cs="黑体"/>
          <w:sz w:val="32"/>
          <w:szCs w:val="32"/>
        </w:rPr>
        <w:t>五、一般公共预算财政拨款收入支出决算</w:t>
      </w:r>
      <w:bookmarkEnd w:id="53"/>
      <w:bookmarkEnd w:id="54"/>
      <w:bookmarkEnd w:id="55"/>
      <w:bookmarkEnd w:id="56"/>
      <w:r>
        <w:rPr>
          <w:rFonts w:hint="eastAsia" w:ascii="黑体" w:hAnsi="黑体" w:eastAsia="黑体" w:cs="黑体"/>
          <w:sz w:val="32"/>
          <w:szCs w:val="32"/>
        </w:rPr>
        <w:t>公开表</w:t>
      </w:r>
      <w:bookmarkEnd w:id="57"/>
      <w:bookmarkEnd w:id="58"/>
      <w:bookmarkStart w:id="59" w:name="_Toc17833_WPSOffice_Level2"/>
      <w:bookmarkStart w:id="60" w:name="_Toc2632_WPSOffice_Level2"/>
      <w:bookmarkStart w:id="61" w:name="_Toc8373_WPSOffice_Level2"/>
      <w:bookmarkStart w:id="62" w:name="_Toc5343_WPSOffice_Level2"/>
      <w:bookmarkStart w:id="63" w:name="_Toc17283_WPSOffice_Level2"/>
      <w:bookmarkStart w:id="64" w:name="_Toc253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9"/>
      <w:bookmarkEnd w:id="60"/>
      <w:bookmarkEnd w:id="61"/>
      <w:bookmarkEnd w:id="62"/>
      <w:bookmarkEnd w:id="63"/>
      <w:bookmarkEnd w:id="64"/>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5" w:name="_Toc21310_WPSOffice_Level2"/>
      <w:bookmarkStart w:id="66" w:name="_Toc11799_WPSOffice_Level2"/>
      <w:bookmarkStart w:id="67" w:name="_Toc13345_WPSOffice_Level2"/>
      <w:bookmarkStart w:id="68" w:name="_Toc1533_WPSOffice_Level2"/>
      <w:bookmarkStart w:id="69" w:name="_Toc6020_WPSOffice_Level2"/>
      <w:bookmarkStart w:id="70" w:name="_Toc5594_WPSOffice_Level2"/>
      <w:r>
        <w:rPr>
          <w:rFonts w:hint="eastAsia" w:ascii="黑体" w:hAnsi="黑体" w:eastAsia="黑体" w:cs="黑体"/>
          <w:sz w:val="32"/>
          <w:szCs w:val="32"/>
        </w:rPr>
        <w:t>七、政府性基金预算财政拨款收入支出决算</w:t>
      </w:r>
      <w:bookmarkEnd w:id="65"/>
      <w:bookmarkEnd w:id="66"/>
      <w:bookmarkEnd w:id="67"/>
      <w:bookmarkEnd w:id="68"/>
      <w:bookmarkEnd w:id="69"/>
      <w:bookmarkEnd w:id="7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71" w:name="_Toc9377_WPSOffice_Level2"/>
      <w:bookmarkStart w:id="72" w:name="_Toc1820_WPSOffice_Level2"/>
      <w:bookmarkStart w:id="73" w:name="_Toc29886_WPSOffice_Level2"/>
      <w:bookmarkStart w:id="74" w:name="_Toc19961_WPSOffice_Level2"/>
      <w:r>
        <w:rPr>
          <w:rFonts w:hint="eastAsia" w:ascii="黑体" w:hAnsi="黑体" w:eastAsia="黑体" w:cs="黑体"/>
          <w:sz w:val="32"/>
          <w:szCs w:val="32"/>
        </w:rPr>
        <w:t>九、财政拨款“三公”经费支出决算</w:t>
      </w:r>
      <w:bookmarkEnd w:id="71"/>
      <w:bookmarkEnd w:id="72"/>
      <w:bookmarkEnd w:id="73"/>
      <w:bookmarkEnd w:id="74"/>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5" w:name="_Toc27590_WPSOffice_Level1"/>
      <w:bookmarkStart w:id="76" w:name="_Toc28629_WPSOffice_Level1"/>
      <w:bookmarkStart w:id="77" w:name="_Toc29683_WPSOffice_Level1"/>
      <w:bookmarkStart w:id="78" w:name="_Toc31264_WPSOffice_Level1"/>
      <w:bookmarkStart w:id="79" w:name="_Toc4402_WPSOffice_Level1"/>
      <w:bookmarkStart w:id="80" w:name="_Toc16686_WPSOffice_Level1"/>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5"/>
      <w:bookmarkEnd w:id="76"/>
      <w:bookmarkEnd w:id="77"/>
      <w:bookmarkEnd w:id="78"/>
      <w:bookmarkEnd w:id="79"/>
      <w:bookmarkEnd w:id="80"/>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年度相比，收入、支出总计各增加(减少)</w:t>
      </w:r>
      <w:r>
        <w:rPr>
          <w:rFonts w:hint="eastAsia" w:ascii="仿宋_GB2312" w:hAnsi="ˎ̥" w:eastAsia="仿宋_GB2312"/>
          <w:color w:val="FF0000"/>
          <w:sz w:val="32"/>
          <w:szCs w:val="32"/>
          <w:lang w:val="en-US" w:eastAsia="zh-CN"/>
        </w:rPr>
        <w:t>751.3</w:t>
      </w:r>
      <w:r>
        <w:rPr>
          <w:rFonts w:hint="eastAsia" w:ascii="仿宋_GB2312" w:hAnsi="ˎ̥" w:eastAsia="仿宋_GB2312"/>
          <w:sz w:val="32"/>
          <w:szCs w:val="32"/>
        </w:rPr>
        <w:t>万元，</w:t>
      </w:r>
      <w:r>
        <w:rPr>
          <w:rFonts w:hint="eastAsia" w:ascii="仿宋_GB2312" w:hAnsi="ˎ̥" w:eastAsia="仿宋_GB2312"/>
          <w:sz w:val="32"/>
          <w:szCs w:val="32"/>
          <w:lang w:eastAsia="zh-CN"/>
        </w:rPr>
        <w:t>增长</w:t>
      </w:r>
      <w:r>
        <w:rPr>
          <w:rFonts w:hint="eastAsia" w:ascii="仿宋_GB2312" w:hAnsi="ˎ̥" w:eastAsia="仿宋_GB2312"/>
          <w:color w:val="FF0000"/>
          <w:sz w:val="32"/>
          <w:szCs w:val="32"/>
          <w:lang w:val="en-US" w:eastAsia="zh-CN"/>
        </w:rPr>
        <w:t>0.09</w:t>
      </w:r>
      <w:r>
        <w:rPr>
          <w:rFonts w:hint="eastAsia" w:ascii="仿宋_GB2312" w:hAnsi="ˎ̥" w:eastAsia="仿宋_GB2312"/>
          <w:sz w:val="32"/>
          <w:szCs w:val="32"/>
        </w:rPr>
        <w:t>%。主要原因：一是</w:t>
      </w:r>
      <w:r>
        <w:rPr>
          <w:rFonts w:hint="eastAsia" w:ascii="仿宋_GB2312" w:hAnsi="ˎ̥" w:eastAsia="仿宋_GB2312"/>
          <w:sz w:val="32"/>
          <w:szCs w:val="32"/>
          <w:lang w:eastAsia="zh-CN"/>
        </w:rPr>
        <w:t>预算安排下降，</w:t>
      </w:r>
      <w:r>
        <w:rPr>
          <w:rFonts w:hint="eastAsia" w:ascii="仿宋_GB2312" w:hAnsi="ˎ̥" w:eastAsia="仿宋_GB2312"/>
          <w:sz w:val="32"/>
          <w:szCs w:val="32"/>
          <w:lang w:val="en-US" w:eastAsia="zh-CN"/>
        </w:rPr>
        <w:t>2023年度有增加的3个派出所项目增加，2024年度项目完工后，项目资金基本支出完整，年度追加转移支付增量资金；</w:t>
      </w:r>
      <w:r>
        <w:rPr>
          <w:rFonts w:hint="eastAsia" w:ascii="仿宋_GB2312" w:hAnsi="ˎ̥" w:eastAsia="仿宋_GB2312"/>
          <w:sz w:val="32"/>
          <w:szCs w:val="32"/>
        </w:rPr>
        <w:t>二是</w:t>
      </w:r>
      <w:r>
        <w:rPr>
          <w:rFonts w:hint="eastAsia" w:ascii="仿宋_GB2312" w:hAnsi="ˎ̥" w:eastAsia="仿宋_GB2312"/>
          <w:sz w:val="32"/>
          <w:szCs w:val="32"/>
          <w:lang w:eastAsia="zh-CN"/>
        </w:rPr>
        <w:t>预算支出安排增加，</w:t>
      </w:r>
      <w:r>
        <w:rPr>
          <w:rFonts w:hint="eastAsia" w:ascii="仿宋_GB2312" w:hAnsi="ˎ̥" w:eastAsia="仿宋_GB2312"/>
          <w:sz w:val="32"/>
          <w:szCs w:val="32"/>
          <w:lang w:val="en-US" w:eastAsia="zh-CN"/>
        </w:rPr>
        <w:t>2024年度项目完工后，项目资金基本支出完成，按照自治区公安厅“十四五”装备建设及办案业务需求，转移支付资金基本支出完整</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eastAsia" w:ascii="仿宋_GB2312" w:hAnsi="ˎ̥" w:eastAsia="仿宋_GB2312"/>
          <w:color w:val="FF0000"/>
          <w:sz w:val="32"/>
          <w:szCs w:val="32"/>
          <w:lang w:val="en-US" w:eastAsia="zh-CN"/>
        </w:rPr>
        <w:t>918.72</w:t>
      </w:r>
      <w:r>
        <w:rPr>
          <w:rFonts w:hint="eastAsia" w:ascii="仿宋_GB2312" w:hAnsi="ˎ̥" w:eastAsia="仿宋_GB2312"/>
          <w:sz w:val="32"/>
          <w:szCs w:val="32"/>
        </w:rPr>
        <w:t>万元，主要是第三批转移支付资金（追加</w:t>
      </w:r>
      <w:r>
        <w:rPr>
          <w:rFonts w:hint="eastAsia" w:ascii="仿宋_GB2312" w:hAnsi="ˎ̥" w:eastAsia="仿宋_GB2312"/>
          <w:sz w:val="32"/>
          <w:szCs w:val="32"/>
          <w:lang w:val="en-US" w:eastAsia="zh-CN"/>
        </w:rPr>
        <w:t>50.84万元、第二批西藏专项中央基建项目申扎镇派出所改扩建项目资金247.37、第二批西藏专项中央基建项目塔尔玛乡派出所改扩建项目资金265.72万元、第二批西藏专项中央基建项目雄梅镇派出所改扩建项目资金290.39万元、中央政法转移支付增量资金64.4万元</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918.72</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10.56</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3个派出所改扩建项目资金及转移支付资金结转至2024年度</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rPr>
      </w:pPr>
      <w:r>
        <w:rPr>
          <w:rFonts w:hint="eastAsia" w:ascii="仿宋_GB2312" w:hAnsi="ˎ̥" w:eastAsia="仿宋_GB2312"/>
          <w:sz w:val="32"/>
          <w:szCs w:val="32"/>
        </w:rPr>
        <w:t>年末结转结余</w:t>
      </w:r>
      <w:r>
        <w:rPr>
          <w:rFonts w:hint="eastAsia" w:ascii="仿宋_GB2312" w:hAnsi="ˎ̥" w:eastAsia="仿宋_GB2312"/>
          <w:color w:val="FF0000"/>
          <w:sz w:val="32"/>
          <w:szCs w:val="32"/>
          <w:lang w:val="en-US" w:eastAsia="zh-CN"/>
        </w:rPr>
        <w:t>62.66</w:t>
      </w:r>
      <w:r>
        <w:rPr>
          <w:rFonts w:hint="eastAsia" w:ascii="仿宋_GB2312" w:hAnsi="ˎ̥" w:eastAsia="仿宋_GB2312"/>
          <w:sz w:val="32"/>
          <w:szCs w:val="32"/>
        </w:rPr>
        <w:t>万元，主要是……（简要说明结转结余的构成），较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856.06</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93.23</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2024年3个乡镇派出所改扩建项目全部完成，项目资金基本拨付完成。导致年末结转结余相较2023年减少。</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6,391.15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76.83</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1,927.10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23.17</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default" w:ascii="仿宋_GB2312" w:hAnsi="ˎ̥" w:eastAsia="仿宋_GB2312"/>
          <w:color w:val="FF0000"/>
          <w:sz w:val="32"/>
          <w:szCs w:val="32"/>
          <w:lang w:val="en-US"/>
        </w:rPr>
        <w:t>X</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年度相比，财政拨款收入增加（减少）</w:t>
      </w:r>
      <w:r>
        <w:rPr>
          <w:rFonts w:hint="eastAsia" w:ascii="仿宋_GB2312" w:hAnsi="ˎ̥" w:eastAsia="仿宋_GB2312"/>
          <w:color w:val="FF0000"/>
          <w:sz w:val="32"/>
          <w:szCs w:val="32"/>
          <w:lang w:val="en-US" w:eastAsia="zh-CN"/>
        </w:rPr>
        <w:t>751.3</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9.03</w:t>
      </w:r>
      <w:r>
        <w:rPr>
          <w:rFonts w:hint="eastAsia" w:ascii="仿宋_GB2312" w:hAnsi="ˎ̥" w:eastAsia="仿宋_GB2312"/>
          <w:sz w:val="32"/>
          <w:szCs w:val="32"/>
        </w:rPr>
        <w:t>%，主要原因：一是</w:t>
      </w:r>
      <w:r>
        <w:rPr>
          <w:rFonts w:hint="eastAsia" w:ascii="仿宋_GB2312" w:hAnsi="ˎ̥" w:eastAsia="仿宋_GB2312"/>
          <w:sz w:val="32"/>
          <w:szCs w:val="32"/>
          <w:lang w:eastAsia="zh-CN"/>
        </w:rPr>
        <w:t>人员经费增加（民辅警工资增长）</w:t>
      </w:r>
      <w:r>
        <w:rPr>
          <w:rFonts w:hint="eastAsia" w:ascii="仿宋_GB2312" w:hAnsi="ˎ̥" w:eastAsia="仿宋_GB2312"/>
          <w:sz w:val="32"/>
          <w:szCs w:val="32"/>
        </w:rPr>
        <w:t>；二是</w:t>
      </w:r>
      <w:r>
        <w:rPr>
          <w:rFonts w:hint="eastAsia" w:ascii="仿宋_GB2312" w:hAnsi="ˎ̥" w:eastAsia="仿宋_GB2312"/>
          <w:sz w:val="32"/>
          <w:szCs w:val="32"/>
          <w:lang w:eastAsia="zh-CN"/>
        </w:rPr>
        <w:t>转移支付增加</w:t>
      </w:r>
      <w:r>
        <w:rPr>
          <w:rFonts w:hint="eastAsia" w:ascii="仿宋_GB2312" w:hAnsi="ˎ̥" w:eastAsia="仿宋_GB2312"/>
          <w:sz w:val="32"/>
          <w:szCs w:val="32"/>
        </w:rPr>
        <w:t>。支出增加（减少）</w:t>
      </w:r>
      <w:r>
        <w:rPr>
          <w:rFonts w:hint="eastAsia" w:ascii="仿宋_GB2312" w:hAnsi="ˎ̥" w:eastAsia="仿宋_GB2312"/>
          <w:color w:val="FF0000"/>
          <w:sz w:val="32"/>
          <w:szCs w:val="32"/>
          <w:lang w:val="en-US" w:eastAsia="zh-CN"/>
        </w:rPr>
        <w:t>1068.5</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12.85</w:t>
      </w:r>
      <w:r>
        <w:rPr>
          <w:rFonts w:hint="eastAsia" w:ascii="仿宋_GB2312" w:hAnsi="ˎ̥" w:eastAsia="仿宋_GB2312"/>
          <w:sz w:val="32"/>
          <w:szCs w:val="32"/>
        </w:rPr>
        <w:t>%，主要原因：一是</w:t>
      </w:r>
      <w:r>
        <w:rPr>
          <w:rFonts w:hint="eastAsia" w:ascii="仿宋_GB2312" w:hAnsi="ˎ̥" w:eastAsia="仿宋_GB2312"/>
          <w:sz w:val="32"/>
          <w:szCs w:val="32"/>
          <w:lang w:eastAsia="zh-CN"/>
        </w:rPr>
        <w:t>人员经费增加（民辅警工资增长）</w:t>
      </w:r>
      <w:r>
        <w:rPr>
          <w:rFonts w:hint="eastAsia" w:ascii="仿宋_GB2312" w:hAnsi="ˎ̥" w:eastAsia="仿宋_GB2312"/>
          <w:sz w:val="32"/>
          <w:szCs w:val="32"/>
        </w:rPr>
        <w:t>；二是</w:t>
      </w:r>
      <w:r>
        <w:rPr>
          <w:rFonts w:hint="eastAsia" w:ascii="仿宋_GB2312" w:hAnsi="ˎ̥" w:eastAsia="仿宋_GB2312"/>
          <w:sz w:val="32"/>
          <w:szCs w:val="32"/>
          <w:lang w:eastAsia="zh-CN"/>
        </w:rPr>
        <w:t>转移支付增加其中包含上年结转及年度追加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eastAsia" w:ascii="仿宋_GB2312" w:hAnsi="ˎ̥" w:eastAsia="仿宋_GB2312"/>
          <w:color w:val="FF0000"/>
          <w:sz w:val="32"/>
          <w:szCs w:val="32"/>
          <w:lang w:val="en-US" w:eastAsia="zh-CN"/>
        </w:rPr>
        <w:t>918.72</w:t>
      </w:r>
      <w:r>
        <w:rPr>
          <w:rFonts w:hint="eastAsia" w:ascii="仿宋_GB2312" w:hAnsi="ˎ̥" w:eastAsia="仿宋_GB2312"/>
          <w:sz w:val="32"/>
          <w:szCs w:val="32"/>
        </w:rPr>
        <w:t>万元，主要是……（简要说明结转结余形成或来源），较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317.19</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65.47</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2023年11月下达3个乡镇派出所改扩建项目资金，受当地气候影响，项目已无法开工建设，资金未拨付；结转转移支付资金。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eastAsia" w:ascii="仿宋_GB2312" w:hAnsi="ˎ̥" w:eastAsia="仿宋_GB2312"/>
          <w:sz w:val="32"/>
          <w:szCs w:val="32"/>
          <w:lang w:val="en-US" w:eastAsia="zh-CN"/>
        </w:rPr>
        <w:t>918.72</w:t>
      </w:r>
      <w:r>
        <w:rPr>
          <w:rFonts w:hint="eastAsia" w:ascii="仿宋_GB2312" w:hAnsi="ˎ̥" w:eastAsia="仿宋_GB2312"/>
          <w:sz w:val="32"/>
          <w:szCs w:val="32"/>
        </w:rPr>
        <w:t>万元，主要是……（简要说明结转结余的</w:t>
      </w:r>
      <w:r>
        <w:rPr>
          <w:rFonts w:ascii="仿宋_GB2312" w:hAnsi="ˎ̥" w:eastAsia="仿宋_GB2312"/>
          <w:sz w:val="32"/>
          <w:szCs w:val="32"/>
        </w:rPr>
        <w:t>构成</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601.53</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65.47</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1" w:name="_Toc21737_WPSOffice_Level2"/>
      <w:bookmarkStart w:id="82" w:name="_Toc23005_WPSOffice_Level2"/>
      <w:bookmarkStart w:id="83" w:name="_Toc17398_WPSOffice_Level2"/>
      <w:bookmarkStart w:id="84" w:name="_Toc13694_WPSOffice_Level2"/>
      <w:bookmarkStart w:id="85" w:name="_Toc9989_WPSOffice_Level2"/>
      <w:bookmarkStart w:id="86" w:name="_Toc19665_WPSOffice_Level2"/>
      <w:r>
        <w:rPr>
          <w:rFonts w:hint="eastAsia" w:ascii="楷体" w:hAnsi="楷体" w:eastAsia="楷体" w:cs="楷体"/>
          <w:sz w:val="32"/>
          <w:szCs w:val="32"/>
        </w:rPr>
        <w:t>（一）一般公共预算财政拨款支出决算总体情况</w:t>
      </w:r>
      <w:bookmarkEnd w:id="81"/>
      <w:bookmarkEnd w:id="82"/>
      <w:bookmarkEnd w:id="83"/>
      <w:bookmarkEnd w:id="84"/>
      <w:bookmarkEnd w:id="85"/>
      <w:bookmarkEnd w:id="8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年度相比，一般公共预算财政拨款支出增加（减少）</w:t>
      </w:r>
      <w:r>
        <w:rPr>
          <w:rFonts w:hint="eastAsia" w:ascii="仿宋_GB2312" w:hAnsi="ˎ̥" w:eastAsia="仿宋_GB2312"/>
          <w:color w:val="FF0000"/>
          <w:sz w:val="32"/>
          <w:szCs w:val="32"/>
          <w:lang w:val="en-US" w:eastAsia="zh-CN"/>
        </w:rPr>
        <w:t>1068.5</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12.84</w:t>
      </w:r>
      <w:r>
        <w:rPr>
          <w:rFonts w:hint="eastAsia" w:ascii="仿宋_GB2312" w:hAnsi="ˎ̥" w:eastAsia="仿宋_GB2312"/>
          <w:sz w:val="32"/>
          <w:szCs w:val="32"/>
        </w:rPr>
        <w:t>%，主要原因是</w:t>
      </w:r>
      <w:r>
        <w:rPr>
          <w:rFonts w:hint="eastAsia" w:ascii="仿宋_GB2312" w:hAnsi="ˎ̥" w:eastAsia="仿宋_GB2312"/>
          <w:b/>
          <w:bCs/>
          <w:sz w:val="32"/>
          <w:szCs w:val="32"/>
        </w:rPr>
        <w:t>一是</w:t>
      </w:r>
      <w:r>
        <w:rPr>
          <w:rFonts w:hint="eastAsia" w:ascii="仿宋_GB2312" w:hAnsi="ˎ̥" w:eastAsia="仿宋_GB2312"/>
          <w:sz w:val="32"/>
          <w:szCs w:val="32"/>
          <w:lang w:eastAsia="zh-CN"/>
        </w:rPr>
        <w:t>人员经费增加（民辅警工资增长）</w:t>
      </w:r>
      <w:r>
        <w:rPr>
          <w:rFonts w:hint="eastAsia" w:ascii="仿宋_GB2312" w:hAnsi="ˎ̥" w:eastAsia="仿宋_GB2312"/>
          <w:sz w:val="32"/>
          <w:szCs w:val="32"/>
        </w:rPr>
        <w:t>；</w:t>
      </w:r>
      <w:r>
        <w:rPr>
          <w:rFonts w:hint="eastAsia" w:ascii="仿宋_GB2312" w:hAnsi="ˎ̥" w:eastAsia="仿宋_GB2312"/>
          <w:b/>
          <w:bCs/>
          <w:sz w:val="32"/>
          <w:szCs w:val="32"/>
        </w:rPr>
        <w:t>二是</w:t>
      </w:r>
      <w:r>
        <w:rPr>
          <w:rFonts w:hint="eastAsia" w:ascii="仿宋_GB2312" w:hAnsi="ˎ̥" w:eastAsia="仿宋_GB2312"/>
          <w:sz w:val="32"/>
          <w:szCs w:val="32"/>
          <w:lang w:eastAsia="zh-CN"/>
        </w:rPr>
        <w:t>转移支付增加其中包含上年结转及年度追加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7" w:name="_Toc27767_WPSOffice_Level2"/>
      <w:bookmarkStart w:id="88" w:name="_Toc2711_WPSOffice_Level2"/>
      <w:bookmarkStart w:id="89" w:name="_Toc18793_WPSOffice_Level2"/>
      <w:bookmarkStart w:id="90" w:name="_Toc19535_WPSOffice_Level2"/>
      <w:bookmarkStart w:id="91" w:name="_Toc23864_WPSOffice_Level2"/>
      <w:bookmarkStart w:id="92" w:name="_Toc19075_WPSOffice_Level2"/>
      <w:r>
        <w:rPr>
          <w:rFonts w:hint="eastAsia" w:ascii="楷体" w:hAnsi="楷体" w:eastAsia="楷体" w:cs="楷体"/>
          <w:sz w:val="32"/>
          <w:szCs w:val="32"/>
        </w:rPr>
        <w:t>（二）一般公共预算财政拨款支出决算结构情况</w:t>
      </w:r>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6967.62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83.76</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617.95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7.43</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428.55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5.15</w:t>
      </w:r>
      <w:r>
        <w:rPr>
          <w:rFonts w:hint="eastAsia" w:ascii="仿宋_GB2312" w:hAnsi="ˎ̥" w:eastAsia="仿宋_GB2312"/>
          <w:sz w:val="32"/>
          <w:szCs w:val="32"/>
        </w:rPr>
        <w:t>%；</w:t>
      </w:r>
      <w:r>
        <w:rPr>
          <w:rFonts w:hint="eastAsia" w:ascii="仿宋_GB2312" w:hAnsi="ˎ̥" w:eastAsia="仿宋_GB2312"/>
          <w:b/>
          <w:bCs/>
          <w:sz w:val="32"/>
          <w:szCs w:val="32"/>
          <w:lang w:eastAsia="zh-CN"/>
        </w:rPr>
        <w:t>卫生健康</w:t>
      </w:r>
      <w:r>
        <w:rPr>
          <w:rFonts w:hint="eastAsia" w:ascii="仿宋_GB2312" w:hAnsi="ˎ̥" w:eastAsia="仿宋_GB2312"/>
          <w:b/>
          <w:bCs/>
          <w:sz w:val="32"/>
          <w:szCs w:val="32"/>
        </w:rPr>
        <w:t>（类）</w:t>
      </w:r>
      <w:r>
        <w:rPr>
          <w:rFonts w:hint="eastAsia" w:ascii="仿宋_GB2312" w:hAnsi="ˎ̥" w:eastAsia="仿宋_GB2312"/>
          <w:sz w:val="32"/>
          <w:szCs w:val="32"/>
          <w:lang w:eastAsia="zh-CN"/>
        </w:rPr>
        <w:t>支出</w:t>
      </w:r>
      <w:r>
        <w:rPr>
          <w:rFonts w:hint="eastAsia" w:ascii="仿宋_GB2312" w:hAnsi="ˎ̥" w:eastAsia="仿宋_GB2312"/>
          <w:sz w:val="32"/>
          <w:szCs w:val="32"/>
          <w:lang w:val="en-US" w:eastAsia="zh-CN"/>
        </w:rPr>
        <w:t>304.13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3.66</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3" w:name="_Toc25136_WPSOffice_Level2"/>
      <w:bookmarkStart w:id="94" w:name="_Toc29364_WPSOffice_Level2"/>
      <w:bookmarkStart w:id="95" w:name="_Toc15415_WPSOffice_Level2"/>
      <w:bookmarkStart w:id="96" w:name="_Toc21701_WPSOffice_Level2"/>
      <w:bookmarkStart w:id="97" w:name="_Toc22318_WPSOffice_Level2"/>
      <w:bookmarkStart w:id="98" w:name="_Toc9502_WPSOffice_Level2"/>
      <w:r>
        <w:rPr>
          <w:rFonts w:hint="eastAsia" w:ascii="楷体" w:hAnsi="楷体" w:eastAsia="楷体" w:cs="楷体"/>
          <w:sz w:val="32"/>
          <w:szCs w:val="32"/>
        </w:rPr>
        <w:t>（三）一般公共预算财政拨款支出决算具体情况</w:t>
      </w:r>
      <w:bookmarkEnd w:id="93"/>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8.18.25</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8,318.25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一般公共服务（类）行政运行。</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4489.74</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4489.75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lang w:eastAsia="zh-CN"/>
        </w:rPr>
      </w:pPr>
      <w:r>
        <w:rPr>
          <w:rFonts w:hint="eastAsia" w:ascii="仿宋_GB2312" w:hAnsi="ˎ̥" w:eastAsia="仿宋_GB2312"/>
          <w:sz w:val="32"/>
          <w:szCs w:val="32"/>
        </w:rPr>
        <w:t xml:space="preserve">   </w:t>
      </w:r>
      <w:r>
        <w:rPr>
          <w:rFonts w:hint="eastAsia" w:ascii="仿宋_GB2312" w:hAnsi="ˎ̥" w:eastAsia="仿宋_GB2312"/>
          <w:sz w:val="32"/>
          <w:szCs w:val="32"/>
          <w:lang w:val="en-US" w:eastAsia="zh-CN"/>
        </w:rPr>
        <w:t xml:space="preserve"> </w:t>
      </w:r>
      <w:r>
        <w:rPr>
          <w:rFonts w:hint="eastAsia" w:ascii="仿宋_GB2312" w:hAnsi="ˎ̥" w:eastAsia="仿宋_GB2312"/>
          <w:sz w:val="32"/>
          <w:szCs w:val="32"/>
        </w:rPr>
        <w:t>2.</w:t>
      </w:r>
      <w:r>
        <w:rPr>
          <w:rFonts w:hint="eastAsia" w:ascii="仿宋_GB2312" w:hAnsi="ˎ̥" w:eastAsia="仿宋_GB2312"/>
          <w:b/>
          <w:sz w:val="32"/>
          <w:szCs w:val="32"/>
        </w:rPr>
        <w:t>一般公共服务（类）</w:t>
      </w:r>
      <w:r>
        <w:rPr>
          <w:rFonts w:hint="eastAsia" w:ascii="仿宋_GB2312" w:hAnsi="ˎ̥" w:eastAsia="仿宋_GB2312"/>
          <w:b/>
          <w:sz w:val="32"/>
          <w:szCs w:val="32"/>
          <w:lang w:eastAsia="zh-CN"/>
        </w:rPr>
        <w:t>其他公安支出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2477.88</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2477.88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3.</w:t>
      </w:r>
      <w:r>
        <w:rPr>
          <w:rFonts w:hint="eastAsia" w:ascii="仿宋_GB2312" w:hAnsi="ˎ̥" w:eastAsia="仿宋_GB2312"/>
          <w:b/>
          <w:sz w:val="32"/>
          <w:szCs w:val="32"/>
        </w:rPr>
        <w:t>社会保障和就业（类）</w:t>
      </w:r>
      <w:r>
        <w:rPr>
          <w:rFonts w:hint="eastAsia" w:ascii="仿宋_GB2312" w:hAnsi="ˎ̥" w:eastAsia="仿宋_GB2312"/>
          <w:b/>
          <w:sz w:val="32"/>
          <w:szCs w:val="32"/>
          <w:lang w:eastAsia="zh-CN"/>
        </w:rPr>
        <w:t>单位基本养老保险缴费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617.95</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617.95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4.</w:t>
      </w:r>
      <w:r>
        <w:rPr>
          <w:rFonts w:hint="eastAsia" w:ascii="仿宋_GB2312" w:hAnsi="ˎ̥" w:eastAsia="仿宋_GB2312"/>
          <w:b/>
          <w:sz w:val="32"/>
          <w:szCs w:val="32"/>
        </w:rPr>
        <w:t>社会保障和就业（类）</w:t>
      </w:r>
      <w:r>
        <w:rPr>
          <w:rFonts w:hint="eastAsia" w:ascii="仿宋_GB2312" w:hAnsi="ˎ̥" w:eastAsia="仿宋_GB2312"/>
          <w:b/>
          <w:sz w:val="32"/>
          <w:szCs w:val="32"/>
          <w:lang w:eastAsia="zh-CN"/>
        </w:rPr>
        <w:t>行政单位医疗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304.13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304.13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5.</w:t>
      </w:r>
      <w:r>
        <w:rPr>
          <w:rFonts w:hint="eastAsia" w:ascii="仿宋_GB2312" w:hAnsi="ˎ̥" w:eastAsia="仿宋_GB2312"/>
          <w:b/>
          <w:sz w:val="32"/>
          <w:szCs w:val="32"/>
        </w:rPr>
        <w:t>社会保障和就业（类）</w:t>
      </w:r>
      <w:r>
        <w:rPr>
          <w:rFonts w:hint="eastAsia" w:ascii="仿宋_GB2312" w:hAnsi="ˎ̥" w:eastAsia="仿宋_GB2312"/>
          <w:b/>
          <w:sz w:val="32"/>
          <w:szCs w:val="32"/>
          <w:lang w:eastAsia="zh-CN"/>
        </w:rPr>
        <w:t>住房公积金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428.55</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428.55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6,391.15</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5,835.88</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555.28</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（款）</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（款）</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79.59</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79.59</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eastAsia="zh-CN"/>
        </w:rPr>
        <w:t>年初预算时人员总数没有变动</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79.59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r>
        <w:rPr>
          <w:rFonts w:hint="eastAsia" w:ascii="仿宋_GB2312" w:hAnsi="ˎ̥" w:eastAsia="仿宋_GB2312"/>
          <w:sz w:val="32"/>
          <w:szCs w:val="32"/>
          <w:lang w:eastAsia="zh-CN"/>
        </w:rPr>
        <w:t>公务用车运行维护费主要用于车辆油料及车辆维修费。</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万元。主要用于</w:t>
      </w:r>
      <w:r>
        <w:rPr>
          <w:rFonts w:hint="eastAsia" w:ascii="仿宋_GB2312" w:hAnsi="ˎ̥" w:eastAsia="仿宋_GB2312"/>
          <w:sz w:val="32"/>
          <w:szCs w:val="32"/>
          <w:lang w:eastAsia="zh-CN"/>
        </w:rPr>
        <w:t>无相关支出。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万元。主要用于</w:t>
      </w:r>
      <w:r>
        <w:rPr>
          <w:rFonts w:hint="eastAsia" w:ascii="仿宋_GB2312" w:hAnsi="ˎ̥" w:eastAsia="仿宋_GB2312"/>
          <w:sz w:val="32"/>
          <w:szCs w:val="32"/>
          <w:lang w:eastAsia="zh-CN"/>
        </w:rPr>
        <w:t>无相关支出。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无相关支出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79.59</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辆，主要用于</w:t>
      </w:r>
      <w:r>
        <w:rPr>
          <w:rFonts w:hint="eastAsia" w:ascii="仿宋_GB2312" w:hAnsi="ˎ̥" w:eastAsia="仿宋_GB2312"/>
          <w:sz w:val="32"/>
          <w:szCs w:val="32"/>
          <w:lang w:eastAsia="zh-CN"/>
        </w:rPr>
        <w:t>车辆油料及车辆维修维护</w:t>
      </w:r>
      <w:r>
        <w:rPr>
          <w:rFonts w:hint="eastAsia" w:ascii="仿宋_GB2312" w:hAnsi="ˎ̥" w:eastAsia="仿宋_GB2312"/>
          <w:sz w:val="32"/>
          <w:szCs w:val="32"/>
        </w:rPr>
        <w:t>，年末公务用车保有量</w:t>
      </w:r>
      <w:r>
        <w:rPr>
          <w:rFonts w:hint="eastAsia" w:ascii="仿宋_GB2312" w:hAnsi="ˎ̥" w:eastAsia="仿宋_GB2312"/>
          <w:color w:val="FF0000"/>
          <w:sz w:val="32"/>
          <w:szCs w:val="32"/>
          <w:lang w:val="en-US" w:eastAsia="zh-CN"/>
        </w:rPr>
        <w:t>39</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79.59</w:t>
      </w:r>
      <w:r>
        <w:rPr>
          <w:rFonts w:hint="eastAsia" w:ascii="仿宋_GB2312" w:hAnsi="ˎ̥" w:eastAsia="仿宋_GB2312"/>
          <w:sz w:val="32"/>
          <w:szCs w:val="32"/>
        </w:rPr>
        <w:t>万元，主要用于</w:t>
      </w:r>
      <w:r>
        <w:rPr>
          <w:rFonts w:hint="eastAsia" w:ascii="仿宋_GB2312" w:hAnsi="ˎ̥" w:eastAsia="仿宋_GB2312"/>
          <w:sz w:val="32"/>
          <w:szCs w:val="32"/>
          <w:lang w:eastAsia="zh-CN"/>
        </w:rPr>
        <w:t>油料及车辆维修</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79.59</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两年</w:t>
      </w:r>
      <w:r>
        <w:rPr>
          <w:rFonts w:hint="eastAsia" w:ascii="仿宋_GB2312" w:hAnsi="ˎ̥" w:eastAsia="仿宋_GB2312"/>
          <w:bCs/>
          <w:sz w:val="32"/>
          <w:szCs w:val="32"/>
        </w:rPr>
        <w:t>公务用车运行维护费</w:t>
      </w:r>
      <w:r>
        <w:rPr>
          <w:rFonts w:hint="eastAsia" w:ascii="仿宋_GB2312" w:hAnsi="ˎ̥" w:eastAsia="仿宋_GB2312"/>
          <w:sz w:val="32"/>
          <w:szCs w:val="32"/>
          <w:lang w:eastAsia="zh-CN"/>
        </w:rPr>
        <w:t>预算</w:t>
      </w:r>
      <w:r>
        <w:rPr>
          <w:rFonts w:hint="eastAsia" w:ascii="仿宋_GB2312" w:hAnsi="ˎ̥" w:eastAsia="仿宋_GB2312"/>
          <w:bCs/>
          <w:sz w:val="32"/>
          <w:szCs w:val="32"/>
          <w:lang w:eastAsia="zh-CN"/>
        </w:rPr>
        <w:t>一样，年初预算时人员总数没有变动</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1940.82</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23.3</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 xml:space="preserve">个国有资本经营预算项目开展绩效自评，共涉及资金 </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color w:val="FF0000"/>
          <w:sz w:val="32"/>
          <w:szCs w:val="32"/>
          <w:lang w:val="en-US" w:eastAsia="zh-CN"/>
        </w:rPr>
        <w:t>派出所改扩建项目资金及中央转移支付资金</w:t>
      </w:r>
      <w:r>
        <w:rPr>
          <w:rFonts w:hint="eastAsia" w:ascii="仿宋_GB2312" w:eastAsia="仿宋_GB2312"/>
          <w:sz w:val="32"/>
          <w:szCs w:val="32"/>
        </w:rPr>
        <w:t>”等</w:t>
      </w:r>
      <w:r>
        <w:rPr>
          <w:rFonts w:hint="eastAsia" w:ascii="仿宋_GB2312" w:eastAsia="仿宋_GB2312"/>
          <w:color w:val="FF0000"/>
          <w:sz w:val="32"/>
          <w:szCs w:val="32"/>
          <w:lang w:val="en-US" w:eastAsia="zh-CN"/>
        </w:rPr>
        <w:t>18</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eastAsia" w:ascii="仿宋_GB2312" w:eastAsia="仿宋_GB2312"/>
          <w:color w:val="FF0000"/>
          <w:sz w:val="32"/>
          <w:szCs w:val="32"/>
          <w:lang w:val="en-US" w:eastAsia="zh-CN" w:bidi="ar"/>
        </w:rPr>
        <w:t>1940.82</w:t>
      </w:r>
      <w:r>
        <w:rPr>
          <w:rFonts w:hint="eastAsia" w:ascii="仿宋_GB2312" w:eastAsia="仿宋_GB2312"/>
          <w:sz w:val="32"/>
          <w:szCs w:val="32"/>
          <w:lang w:bidi="ar"/>
        </w:rPr>
        <w:t>万元，政府性基金预算支出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w:t>
      </w:r>
      <w:r>
        <w:rPr>
          <w:rFonts w:hint="eastAsia" w:ascii="仿宋_GB2312" w:eastAsia="仿宋_GB2312"/>
          <w:sz w:val="32"/>
          <w:szCs w:val="32"/>
        </w:rPr>
        <w:t>从评价情况来看，……（预算部门如有，请对预算绩效评价情况进行简单说明；没有，则简要说明本年没有进行相关工作及理由。部门所属单位不需填写此项）。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w:t>
      </w:r>
      <w:r>
        <w:rPr>
          <w:rFonts w:hint="eastAsia" w:ascii="仿宋_GB2312" w:eastAsia="仿宋_GB2312"/>
          <w:color w:val="FF0000"/>
          <w:sz w:val="32"/>
          <w:szCs w:val="32"/>
          <w:lang w:val="en-US" w:eastAsia="zh-CN"/>
        </w:rPr>
        <w:t>0</w:t>
      </w:r>
      <w:r>
        <w:rPr>
          <w:rFonts w:hint="eastAsia" w:ascii="仿宋_GB2312" w:eastAsia="仿宋_GB2312"/>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color w:val="FF0000"/>
          <w:sz w:val="32"/>
          <w:szCs w:val="32"/>
          <w:lang w:val="en-US" w:eastAsia="zh-CN"/>
        </w:rPr>
        <w:t>18</w:t>
      </w:r>
      <w:r>
        <w:rPr>
          <w:rFonts w:hint="eastAsia" w:ascii="仿宋_GB2312" w:eastAsia="仿宋_GB2312"/>
          <w:sz w:val="32"/>
          <w:szCs w:val="32"/>
        </w:rPr>
        <w:t>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可作为附件附后</w:t>
      </w:r>
      <w:r>
        <w:rPr>
          <w:rFonts w:hint="eastAsia" w:ascii="仿宋_GB2312" w:eastAsia="仿宋_GB2312"/>
          <w:color w:val="FF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color w:val="FF0000"/>
          <w:sz w:val="32"/>
          <w:szCs w:val="32"/>
          <w:lang w:val="en-US" w:eastAsia="zh-CN"/>
        </w:rPr>
        <w:t>18</w:t>
      </w:r>
      <w:r>
        <w:rPr>
          <w:rFonts w:hint="eastAsia" w:ascii="仿宋_GB2312" w:eastAsia="仿宋_GB2312"/>
          <w:sz w:val="32"/>
          <w:szCs w:val="32"/>
        </w:rPr>
        <w:t>项目绩效自评报告：根据年初设定的绩效目标，项目绩效自评得分为</w:t>
      </w:r>
      <w:r>
        <w:rPr>
          <w:rFonts w:hint="eastAsia" w:ascii="仿宋_GB2312" w:eastAsia="仿宋_GB2312"/>
          <w:color w:val="FF0000"/>
          <w:sz w:val="32"/>
          <w:szCs w:val="32"/>
          <w:lang w:val="en-US" w:eastAsia="zh-CN"/>
        </w:rPr>
        <w:t>90以上</w:t>
      </w:r>
      <w:r>
        <w:rPr>
          <w:rFonts w:hint="eastAsia" w:ascii="仿宋_GB2312" w:eastAsia="仿宋_GB2312"/>
          <w:sz w:val="32"/>
          <w:szCs w:val="32"/>
        </w:rPr>
        <w:t>分。全年预算数为</w:t>
      </w:r>
      <w:r>
        <w:rPr>
          <w:rFonts w:hint="eastAsia" w:ascii="仿宋_GB2312" w:eastAsia="仿宋_GB2312"/>
          <w:color w:val="FF0000"/>
          <w:sz w:val="32"/>
          <w:szCs w:val="32"/>
          <w:lang w:val="en-US" w:eastAsia="zh-CN"/>
        </w:rPr>
        <w:t>1940.82</w:t>
      </w:r>
      <w:r>
        <w:rPr>
          <w:rFonts w:hint="eastAsia" w:ascii="仿宋_GB2312" w:eastAsia="仿宋_GB2312"/>
          <w:sz w:val="32"/>
          <w:szCs w:val="32"/>
        </w:rPr>
        <w:t>万元，执行数为</w:t>
      </w:r>
      <w:r>
        <w:rPr>
          <w:rFonts w:hint="eastAsia" w:ascii="仿宋_GB2312" w:eastAsia="仿宋_GB2312"/>
          <w:sz w:val="32"/>
          <w:szCs w:val="32"/>
          <w:lang w:val="en-US" w:eastAsia="zh-CN"/>
        </w:rPr>
        <w:t>1927.12</w:t>
      </w:r>
      <w:r>
        <w:rPr>
          <w:rFonts w:hint="eastAsia" w:ascii="仿宋_GB2312" w:eastAsia="仿宋_GB2312"/>
          <w:sz w:val="32"/>
          <w:szCs w:val="32"/>
        </w:rPr>
        <w:t>万元，完成预算的</w:t>
      </w:r>
      <w:r>
        <w:rPr>
          <w:rFonts w:hint="eastAsia" w:ascii="仿宋_GB2312" w:eastAsia="仿宋_GB2312"/>
          <w:color w:val="FF0000"/>
          <w:sz w:val="32"/>
          <w:szCs w:val="32"/>
          <w:lang w:val="en-US" w:eastAsia="zh-CN"/>
        </w:rPr>
        <w:t>99.3</w:t>
      </w:r>
      <w:r>
        <w:rPr>
          <w:rFonts w:hint="eastAsia" w:ascii="仿宋_GB2312" w:eastAsia="仿宋_GB2312"/>
          <w:sz w:val="32"/>
          <w:szCs w:val="32"/>
        </w:rPr>
        <w:t>%。项目绩效目标完成情况：一是</w:t>
      </w:r>
      <w:r>
        <w:rPr>
          <w:rFonts w:hint="eastAsia" w:ascii="仿宋_GB2312" w:eastAsia="仿宋_GB2312"/>
          <w:sz w:val="32"/>
          <w:szCs w:val="32"/>
          <w:lang w:eastAsia="zh-CN"/>
        </w:rPr>
        <w:t>公安局</w:t>
      </w:r>
      <w:r>
        <w:rPr>
          <w:rFonts w:hint="eastAsia" w:ascii="仿宋_GB2312" w:eastAsia="仿宋_GB2312"/>
          <w:sz w:val="32"/>
          <w:szCs w:val="32"/>
          <w:lang w:val="en-US" w:eastAsia="zh-CN"/>
        </w:rPr>
        <w:t>2024年度项目绩效目标18项，其中14项已全部完成绩效目标，剩余4项涉及转移支付资金及项目资金</w:t>
      </w:r>
      <w:r>
        <w:rPr>
          <w:rFonts w:hint="eastAsia" w:ascii="仿宋_GB2312" w:eastAsia="仿宋_GB2312"/>
          <w:sz w:val="32"/>
          <w:szCs w:val="32"/>
        </w:rPr>
        <w:t>。发现的主要问题及原因：</w:t>
      </w:r>
      <w:r>
        <w:rPr>
          <w:rFonts w:hint="eastAsia" w:ascii="仿宋_GB2312" w:eastAsia="仿宋_GB2312"/>
          <w:sz w:val="32"/>
          <w:szCs w:val="32"/>
          <w:lang w:eastAsia="zh-CN"/>
        </w:rPr>
        <w:t>年初预算完成后，后期有追加的专项经费需要做绩效目标，导致部分绩效目标本年度无法完成</w:t>
      </w:r>
      <w:r>
        <w:rPr>
          <w:rFonts w:hint="eastAsia" w:ascii="仿宋_GB2312" w:eastAsia="仿宋_GB2312"/>
          <w:sz w:val="32"/>
          <w:szCs w:val="32"/>
        </w:rPr>
        <w:t>。下一步改进措施：</w:t>
      </w:r>
      <w:r>
        <w:rPr>
          <w:rFonts w:hint="eastAsia" w:ascii="仿宋_GB2312" w:eastAsia="仿宋_GB2312"/>
          <w:sz w:val="32"/>
          <w:szCs w:val="32"/>
          <w:lang w:eastAsia="zh-CN"/>
        </w:rPr>
        <w:t>下一步公安局将加强对绩效目标的管理做好年度计划，保障绩效目标按时完成</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9" w:name="_Toc23598_WPSOffice_Level2"/>
      <w:bookmarkStart w:id="100" w:name="_Toc18325_WPSOffice_Level2"/>
      <w:bookmarkStart w:id="101" w:name="_Toc32639_WPSOffice_Level2"/>
      <w:bookmarkStart w:id="102" w:name="_Toc15565_WPSOffice_Level2"/>
      <w:bookmarkStart w:id="103" w:name="_Toc15262_WPSOffice_Level2"/>
      <w:bookmarkStart w:id="104" w:name="_Toc5978_WPSOffice_Level2"/>
      <w:r>
        <w:rPr>
          <w:rFonts w:hint="eastAsia" w:ascii="楷体" w:hAnsi="楷体" w:eastAsia="楷体" w:cs="楷体"/>
          <w:bCs/>
          <w:sz w:val="32"/>
          <w:szCs w:val="32"/>
        </w:rPr>
        <w:t>（一）机关运行经费支出情况</w:t>
      </w:r>
      <w:bookmarkEnd w:id="99"/>
      <w:bookmarkEnd w:id="100"/>
      <w:bookmarkEnd w:id="101"/>
      <w:bookmarkEnd w:id="102"/>
      <w:bookmarkEnd w:id="103"/>
      <w:bookmarkEnd w:id="10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公安局机关</w:t>
      </w:r>
      <w:r>
        <w:rPr>
          <w:rFonts w:hint="eastAsia" w:ascii="仿宋_GB2312" w:hAnsi="ˎ̥" w:eastAsia="仿宋_GB2312"/>
          <w:sz w:val="32"/>
          <w:szCs w:val="32"/>
        </w:rPr>
        <w:t>机关运行经费</w:t>
      </w:r>
      <w:r>
        <w:rPr>
          <w:rFonts w:hint="eastAsia" w:ascii="仿宋_GB2312" w:hAnsi="ˎ̥" w:eastAsia="仿宋_GB2312"/>
          <w:color w:val="FF0000"/>
          <w:sz w:val="32"/>
          <w:szCs w:val="32"/>
          <w:lang w:val="en-US" w:eastAsia="zh-CN"/>
        </w:rPr>
        <w:t>8318.25</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8318.25</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color w:val="FF0000"/>
          <w:sz w:val="32"/>
          <w:szCs w:val="32"/>
          <w:lang w:val="en-US" w:eastAsia="zh-CN"/>
        </w:rPr>
        <w:t>1068.5</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w:t>
      </w:r>
      <w:r>
        <w:rPr>
          <w:rFonts w:hint="eastAsia" w:ascii="仿宋_GB2312" w:hAnsi="ˎ̥" w:eastAsia="仿宋_GB2312"/>
          <w:color w:val="FF0000"/>
          <w:sz w:val="32"/>
          <w:szCs w:val="32"/>
          <w:lang w:val="en-US" w:eastAsia="zh-CN"/>
        </w:rPr>
        <w:t>12.8</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 xml:space="preserve">办公设施设备购置经费增加（减少）/资产运行维护支出增加（减少）/信息系统运行维护支出增加（减少）/人员编制数量增加（减少）/落实过紧日子要求压减 </w:t>
      </w:r>
      <w:r>
        <w:rPr>
          <w:rFonts w:hint="default" w:ascii="仿宋_GB2312" w:hAnsi="ˎ̥" w:eastAsia="仿宋_GB2312"/>
          <w:color w:val="FF0000"/>
          <w:sz w:val="32"/>
          <w:szCs w:val="32"/>
          <w:lang w:val="en-US" w:bidi="ar"/>
        </w:rPr>
        <w:t>XX</w:t>
      </w:r>
      <w:r>
        <w:rPr>
          <w:rFonts w:hint="eastAsia" w:ascii="仿宋_GB2312" w:hAnsi="ˎ̥" w:eastAsia="仿宋_GB2312"/>
          <w:sz w:val="32"/>
          <w:szCs w:val="32"/>
          <w:lang w:bidi="ar"/>
        </w:rPr>
        <w:t xml:space="preserve"> 支出/……等</w:t>
      </w:r>
      <w:r>
        <w:rPr>
          <w:rFonts w:hint="eastAsia" w:ascii="仿宋_GB2312" w:hAnsi="ˎ̥" w:eastAsia="仿宋_GB2312"/>
          <w:sz w:val="32"/>
          <w:szCs w:val="32"/>
        </w:rPr>
        <w:t>（具体增减原因由</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5" w:name="_Toc25333_WPSOffice_Level2"/>
      <w:bookmarkStart w:id="106" w:name="_Toc13084_WPSOffice_Level2"/>
      <w:bookmarkStart w:id="107" w:name="_Toc23966_WPSOffice_Level2"/>
      <w:bookmarkStart w:id="108" w:name="_Toc30383_WPSOffice_Level2"/>
      <w:bookmarkStart w:id="109" w:name="_Toc3131_WPSOffice_Level2"/>
      <w:bookmarkStart w:id="110" w:name="_Toc32689_WPSOffice_Level2"/>
      <w:r>
        <w:rPr>
          <w:rFonts w:hint="eastAsia" w:ascii="楷体" w:hAnsi="楷体" w:eastAsia="楷体" w:cs="楷体"/>
          <w:bCs/>
          <w:sz w:val="32"/>
          <w:szCs w:val="32"/>
        </w:rPr>
        <w:t>（二）政府采购支出情况</w:t>
      </w:r>
      <w:bookmarkEnd w:id="105"/>
      <w:bookmarkEnd w:id="106"/>
      <w:bookmarkEnd w:id="107"/>
      <w:bookmarkEnd w:id="108"/>
      <w:bookmarkEnd w:id="109"/>
      <w:bookmarkEnd w:id="11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部门（单位）政府采购支出总额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11" w:name="_Toc15129_WPSOffice_Level2"/>
      <w:bookmarkStart w:id="112" w:name="_Toc10902_WPSOffice_Level2"/>
      <w:bookmarkStart w:id="113" w:name="_Toc29584_WPSOffice_Level2"/>
      <w:bookmarkStart w:id="114" w:name="_Toc527_WPSOffice_Level2"/>
      <w:bookmarkStart w:id="115" w:name="_Toc19989_WPSOffice_Level2"/>
      <w:bookmarkStart w:id="116" w:name="_Toc6016_WPSOffice_Level2"/>
      <w:r>
        <w:rPr>
          <w:rFonts w:hint="eastAsia" w:ascii="楷体" w:hAnsi="楷体" w:eastAsia="楷体" w:cs="楷体"/>
          <w:bCs/>
          <w:sz w:val="32"/>
          <w:szCs w:val="32"/>
        </w:rPr>
        <w:t>（三）国有资产占用情况</w:t>
      </w:r>
      <w:bookmarkEnd w:id="111"/>
      <w:bookmarkEnd w:id="112"/>
      <w:bookmarkEnd w:id="113"/>
      <w:bookmarkEnd w:id="114"/>
      <w:bookmarkEnd w:id="115"/>
      <w:bookmarkEnd w:id="11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15341.54</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39</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sz w:val="32"/>
          <w:szCs w:val="32"/>
          <w:lang w:val="en-US" w:eastAsia="zh-CN"/>
        </w:rPr>
        <w:t>2</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28</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sz w:val="32"/>
          <w:szCs w:val="32"/>
          <w:lang w:val="en-US" w:eastAsia="zh-CN"/>
        </w:rPr>
        <w:t>9</w:t>
      </w:r>
      <w:r>
        <w:rPr>
          <w:rFonts w:hint="eastAsia" w:ascii="仿宋_GB2312" w:hAnsi="ˎ̥" w:eastAsia="仿宋_GB2312"/>
          <w:sz w:val="32"/>
          <w:szCs w:val="32"/>
        </w:rPr>
        <w:t>辆，其他用车主要是</w:t>
      </w:r>
      <w:r>
        <w:rPr>
          <w:rFonts w:hint="eastAsia" w:ascii="仿宋_GB2312" w:hAnsi="ˎ̥" w:eastAsia="仿宋_GB2312"/>
          <w:sz w:val="32"/>
          <w:szCs w:val="32"/>
          <w:lang w:eastAsia="zh-CN"/>
        </w:rPr>
        <w:t>救援车和信号屏蔽车</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7" w:name="_Toc8874_WPSOffice_Level1"/>
      <w:bookmarkStart w:id="118" w:name="_Toc11039_WPSOffice_Level1"/>
      <w:bookmarkStart w:id="119" w:name="_Toc8808_WPSOffice_Level1"/>
      <w:bookmarkStart w:id="120" w:name="_Toc17580_WPSOffice_Level1"/>
      <w:bookmarkStart w:id="121" w:name="_Toc4398_WPSOffice_Level1"/>
      <w:bookmarkStart w:id="122"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7"/>
      <w:bookmarkEnd w:id="118"/>
      <w:bookmarkEnd w:id="119"/>
      <w:bookmarkEnd w:id="120"/>
      <w:bookmarkEnd w:id="121"/>
      <w:bookmarkEnd w:id="122"/>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2AB69AF"/>
    <w:rsid w:val="03044641"/>
    <w:rsid w:val="03883DB5"/>
    <w:rsid w:val="04B24C40"/>
    <w:rsid w:val="05292970"/>
    <w:rsid w:val="05FD095F"/>
    <w:rsid w:val="0681100D"/>
    <w:rsid w:val="06A5592F"/>
    <w:rsid w:val="06B16230"/>
    <w:rsid w:val="08800329"/>
    <w:rsid w:val="08A65C85"/>
    <w:rsid w:val="09201287"/>
    <w:rsid w:val="09835830"/>
    <w:rsid w:val="0B041EF4"/>
    <w:rsid w:val="0B843161"/>
    <w:rsid w:val="0BE17D73"/>
    <w:rsid w:val="0CCF79C7"/>
    <w:rsid w:val="0D2246C2"/>
    <w:rsid w:val="0FC80124"/>
    <w:rsid w:val="10971B2E"/>
    <w:rsid w:val="10A55AFA"/>
    <w:rsid w:val="10D6619D"/>
    <w:rsid w:val="11C724A8"/>
    <w:rsid w:val="122A3788"/>
    <w:rsid w:val="12B713C0"/>
    <w:rsid w:val="136F98C7"/>
    <w:rsid w:val="13A12E3C"/>
    <w:rsid w:val="13C417EB"/>
    <w:rsid w:val="149E6D26"/>
    <w:rsid w:val="14FA2D41"/>
    <w:rsid w:val="15B65AA3"/>
    <w:rsid w:val="17427E68"/>
    <w:rsid w:val="1755065F"/>
    <w:rsid w:val="180B3EDF"/>
    <w:rsid w:val="191B42D7"/>
    <w:rsid w:val="19B47B7B"/>
    <w:rsid w:val="1AE06FB1"/>
    <w:rsid w:val="1AFC29C9"/>
    <w:rsid w:val="1B834549"/>
    <w:rsid w:val="1CA52F2E"/>
    <w:rsid w:val="1CEB0F49"/>
    <w:rsid w:val="1D906B47"/>
    <w:rsid w:val="1DDC7013"/>
    <w:rsid w:val="1DFE370B"/>
    <w:rsid w:val="1E3630B9"/>
    <w:rsid w:val="1E5576DA"/>
    <w:rsid w:val="1E7D6350"/>
    <w:rsid w:val="1E9242E6"/>
    <w:rsid w:val="1F2B162E"/>
    <w:rsid w:val="203E39F3"/>
    <w:rsid w:val="20C7493F"/>
    <w:rsid w:val="218D6049"/>
    <w:rsid w:val="21B356AD"/>
    <w:rsid w:val="225F4001"/>
    <w:rsid w:val="247879A9"/>
    <w:rsid w:val="266C5ADE"/>
    <w:rsid w:val="26EEC2B5"/>
    <w:rsid w:val="27962AD0"/>
    <w:rsid w:val="29472309"/>
    <w:rsid w:val="2A63538F"/>
    <w:rsid w:val="2B406E77"/>
    <w:rsid w:val="2C2A0C43"/>
    <w:rsid w:val="2CAD6DEF"/>
    <w:rsid w:val="2CCE75E5"/>
    <w:rsid w:val="2D1E73A5"/>
    <w:rsid w:val="2F10799F"/>
    <w:rsid w:val="2F397375"/>
    <w:rsid w:val="2F961716"/>
    <w:rsid w:val="30877E71"/>
    <w:rsid w:val="32717154"/>
    <w:rsid w:val="32A47068"/>
    <w:rsid w:val="34B63260"/>
    <w:rsid w:val="35741839"/>
    <w:rsid w:val="35E06A2C"/>
    <w:rsid w:val="36D417A0"/>
    <w:rsid w:val="37BF01F8"/>
    <w:rsid w:val="37FDA7E2"/>
    <w:rsid w:val="38B01E4B"/>
    <w:rsid w:val="3A314D88"/>
    <w:rsid w:val="3A5E3D8E"/>
    <w:rsid w:val="3A6F6497"/>
    <w:rsid w:val="3A746883"/>
    <w:rsid w:val="3ADB73C2"/>
    <w:rsid w:val="3AFE4977"/>
    <w:rsid w:val="3C1C3631"/>
    <w:rsid w:val="3CA15DE9"/>
    <w:rsid w:val="3E9D21A1"/>
    <w:rsid w:val="3F1558C3"/>
    <w:rsid w:val="3F7D62C3"/>
    <w:rsid w:val="3FA76B7A"/>
    <w:rsid w:val="3FA813F2"/>
    <w:rsid w:val="3FE61EE5"/>
    <w:rsid w:val="406508EE"/>
    <w:rsid w:val="407A3D7C"/>
    <w:rsid w:val="408D6263"/>
    <w:rsid w:val="419B689F"/>
    <w:rsid w:val="41B40CEE"/>
    <w:rsid w:val="43553D13"/>
    <w:rsid w:val="45EA2AA7"/>
    <w:rsid w:val="46685833"/>
    <w:rsid w:val="48317291"/>
    <w:rsid w:val="485F7024"/>
    <w:rsid w:val="48752036"/>
    <w:rsid w:val="488377D1"/>
    <w:rsid w:val="48BB605B"/>
    <w:rsid w:val="48E70666"/>
    <w:rsid w:val="490F6148"/>
    <w:rsid w:val="492C3450"/>
    <w:rsid w:val="4A3201F3"/>
    <w:rsid w:val="4C261CCA"/>
    <w:rsid w:val="4C4516E5"/>
    <w:rsid w:val="4C6877E5"/>
    <w:rsid w:val="4C9F2C4D"/>
    <w:rsid w:val="4D6A468D"/>
    <w:rsid w:val="4E7A037F"/>
    <w:rsid w:val="4EA86137"/>
    <w:rsid w:val="4F406B61"/>
    <w:rsid w:val="50311A31"/>
    <w:rsid w:val="50846014"/>
    <w:rsid w:val="50FC707C"/>
    <w:rsid w:val="56CA7FD0"/>
    <w:rsid w:val="56CF3754"/>
    <w:rsid w:val="57C579AB"/>
    <w:rsid w:val="57FA38D1"/>
    <w:rsid w:val="590764D6"/>
    <w:rsid w:val="59196E06"/>
    <w:rsid w:val="591A3BFE"/>
    <w:rsid w:val="59330FE1"/>
    <w:rsid w:val="59471DDE"/>
    <w:rsid w:val="5A42367E"/>
    <w:rsid w:val="5B041FDB"/>
    <w:rsid w:val="5BF15CFA"/>
    <w:rsid w:val="5C820EB1"/>
    <w:rsid w:val="5DDC5406"/>
    <w:rsid w:val="5F7D3333"/>
    <w:rsid w:val="607749FD"/>
    <w:rsid w:val="60EB4DE0"/>
    <w:rsid w:val="61385890"/>
    <w:rsid w:val="61CF4EE0"/>
    <w:rsid w:val="639F5B98"/>
    <w:rsid w:val="63A0422D"/>
    <w:rsid w:val="65337EC2"/>
    <w:rsid w:val="66466A00"/>
    <w:rsid w:val="687436E1"/>
    <w:rsid w:val="68AB5197"/>
    <w:rsid w:val="6A336EEC"/>
    <w:rsid w:val="6AC80CF2"/>
    <w:rsid w:val="6B8446F0"/>
    <w:rsid w:val="6BED1B5B"/>
    <w:rsid w:val="6DA45C50"/>
    <w:rsid w:val="6E4C4F01"/>
    <w:rsid w:val="6E9A7825"/>
    <w:rsid w:val="6F670F9B"/>
    <w:rsid w:val="6FFA33F8"/>
    <w:rsid w:val="70286AA6"/>
    <w:rsid w:val="70A70744"/>
    <w:rsid w:val="72197B39"/>
    <w:rsid w:val="737450E0"/>
    <w:rsid w:val="74054476"/>
    <w:rsid w:val="742F38C4"/>
    <w:rsid w:val="74405568"/>
    <w:rsid w:val="74AB66DC"/>
    <w:rsid w:val="74BF4169"/>
    <w:rsid w:val="74C4154C"/>
    <w:rsid w:val="75956FFF"/>
    <w:rsid w:val="77AA2D01"/>
    <w:rsid w:val="79B875A3"/>
    <w:rsid w:val="79F23766"/>
    <w:rsid w:val="7A341053"/>
    <w:rsid w:val="7CDE1DBD"/>
    <w:rsid w:val="7D943A85"/>
    <w:rsid w:val="7DB0448C"/>
    <w:rsid w:val="7E365CA1"/>
    <w:rsid w:val="7E5F9AA4"/>
    <w:rsid w:val="7EA66E32"/>
    <w:rsid w:val="7FFC42BF"/>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7186</Words>
  <Characters>10522</Characters>
  <Lines>67</Lines>
  <Paragraphs>18</Paragraphs>
  <TotalTime>19</TotalTime>
  <ScaleCrop>false</ScaleCrop>
  <LinksUpToDate>false</LinksUpToDate>
  <CharactersWithSpaces>10608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2026-01-30T04:43:36Z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