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申扎县卫生健康委员会2024年度部门决算公开报告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049_WPSOffice_Level1"/>
      <w:bookmarkStart w:id="3" w:name="_Toc10720_WPSOffice_Level1"/>
      <w:bookmarkStart w:id="4" w:name="_Toc1704_WPSOffice_Level1"/>
      <w:bookmarkStart w:id="5" w:name="_Toc22941_WPSOffice_Level1"/>
      <w:bookmarkStart w:id="6" w:name="_Toc32433_WPSOffice_Level1"/>
      <w:bookmarkStart w:id="7" w:name="_Toc23465_WPSOffice_Level1"/>
      <w:bookmarkStart w:id="8" w:name="_Toc24238_WPSOffice_Level2"/>
      <w:bookmarkStart w:id="9" w:name="_Toc32622_WPSOffice_Level2"/>
      <w:bookmarkStart w:id="10" w:name="_Toc20205_WPSOffice_Level2"/>
      <w:bookmarkStart w:id="11" w:name="_Toc26580_WPSOffice_Level2"/>
      <w:bookmarkStart w:id="12" w:name="_Toc14159_WPSOffice_Level2"/>
      <w:bookmarkStart w:id="13" w:name="_Toc20274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24059_WPSOffice_Level2"/>
      <w:bookmarkStart w:id="15" w:name="_Toc6572_WPSOffice_Level2"/>
      <w:bookmarkStart w:id="16" w:name="_Toc17796_WPSOffice_Level2"/>
      <w:bookmarkStart w:id="17" w:name="_Toc24474_WPSOffice_Level2"/>
      <w:bookmarkStart w:id="18" w:name="_Toc4833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color w:val="FF0000"/>
          <w:sz w:val="32"/>
          <w:szCs w:val="32"/>
          <w:lang w:val="en-US" w:eastAsia="zh-CN"/>
        </w:rPr>
        <w:t>申扎县卫健委</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w:t>
      </w:r>
    </w:p>
    <w:p>
      <w:pPr>
        <w:spacing w:line="578" w:lineRule="exact"/>
        <w:ind w:firstLine="640" w:firstLineChars="200"/>
        <w:rPr>
          <w:rFonts w:hint="eastAsia" w:ascii="方正楷体_GBK" w:hAnsi="方正楷体_GBK" w:eastAsia="方正楷体_GBK" w:cs="方正楷体_GBK"/>
          <w:sz w:val="32"/>
          <w:szCs w:val="32"/>
        </w:rPr>
      </w:pPr>
      <w:bookmarkStart w:id="19" w:name="_Toc24421_WPSOffice_Level2"/>
      <w:bookmarkStart w:id="20" w:name="_Toc25738_WPSOffice_Level2"/>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color w:val="FF0000"/>
          <w:sz w:val="32"/>
          <w:szCs w:val="32"/>
          <w:lang w:val="en-US" w:eastAsia="zh-CN"/>
        </w:rPr>
        <w:t>卫生健康委员会</w:t>
      </w:r>
      <w:r>
        <w:rPr>
          <w:rFonts w:hint="eastAsia" w:ascii="方正楷体_GBK" w:hAnsi="方正楷体_GBK" w:eastAsia="方正楷体_GBK" w:cs="方正楷体_GBK"/>
          <w:sz w:val="32"/>
          <w:szCs w:val="32"/>
        </w:rPr>
        <w:t>部门本级</w:t>
      </w:r>
      <w:bookmarkEnd w:id="19"/>
      <w:bookmarkEnd w:id="20"/>
    </w:p>
    <w:p>
      <w:pPr>
        <w:spacing w:line="578" w:lineRule="exact"/>
        <w:jc w:val="center"/>
        <w:rPr>
          <w:rFonts w:hint="eastAsia" w:ascii="黑体" w:hAnsi="ˎ̥" w:eastAsia="黑体"/>
          <w:sz w:val="32"/>
          <w:szCs w:val="32"/>
        </w:rPr>
      </w:pPr>
      <w:bookmarkStart w:id="21" w:name="_Toc8164_WPSOffice_Level1"/>
      <w:bookmarkStart w:id="22" w:name="_Toc15521_WPSOffice_Level1"/>
      <w:bookmarkStart w:id="23" w:name="_Toc6234_WPSOffice_Level1"/>
      <w:bookmarkStart w:id="24" w:name="_Toc30690_WPSOffice_Level1"/>
      <w:bookmarkStart w:id="25" w:name="_Toc28253_WPSOffice_Level1"/>
      <w:bookmarkStart w:id="26" w:name="_Toc30451_WPSOffice_Level1"/>
      <w:bookmarkStart w:id="27" w:name="_Toc4029_WPSOffice_Level2"/>
      <w:bookmarkStart w:id="28" w:name="_Toc32695_WPSOffice_Level2"/>
      <w:bookmarkStart w:id="29" w:name="_Toc8867_WPSOffice_Level2"/>
      <w:bookmarkStart w:id="30" w:name="_Toc32472_WPSOffice_Level2"/>
      <w:bookmarkStart w:id="31" w:name="_Toc6211_WPSOffice_Level2"/>
      <w:bookmarkStart w:id="32" w:name="_Toc11518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14349_WPSOffice_Level2"/>
      <w:bookmarkStart w:id="34" w:name="_Toc25608_WPSOffice_Level2"/>
      <w:bookmarkStart w:id="35" w:name="_Toc28622_WPSOffice_Level2"/>
      <w:bookmarkStart w:id="36" w:name="_Toc26621_WPSOffice_Level2"/>
      <w:bookmarkStart w:id="37" w:name="_Toc23139_WPSOffice_Level2"/>
      <w:bookmarkStart w:id="38" w:name="_Toc30334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7858_WPSOffice_Level2"/>
      <w:bookmarkStart w:id="40" w:name="_Toc17626_WPSOffice_Level2"/>
      <w:bookmarkStart w:id="41" w:name="_Toc14658_WPSOffice_Level2"/>
      <w:bookmarkStart w:id="42" w:name="_Toc3262_WPSOffice_Level2"/>
      <w:bookmarkStart w:id="43" w:name="_Toc13854_WPSOffice_Level2"/>
      <w:bookmarkStart w:id="44" w:name="_Toc5489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3493_WPSOffice_Level2"/>
      <w:bookmarkStart w:id="46" w:name="_Toc23591_WPSOffice_Level2"/>
      <w:bookmarkStart w:id="47" w:name="_Toc4265_WPSOffice_Level2"/>
      <w:bookmarkStart w:id="48" w:name="_Toc21415_WPSOffice_Level2"/>
      <w:bookmarkStart w:id="49" w:name="_Toc7988_WPSOffice_Level2"/>
      <w:bookmarkStart w:id="50" w:name="_Toc1370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7879_WPSOffice_Level2"/>
      <w:bookmarkStart w:id="52" w:name="_Toc23829_WPSOffice_Level2"/>
      <w:bookmarkStart w:id="53" w:name="_Toc25166_WPSOffice_Level2"/>
      <w:bookmarkStart w:id="54" w:name="_Toc22783_WPSOffice_Level2"/>
      <w:bookmarkStart w:id="55" w:name="_Toc2158_WPSOffice_Level2"/>
      <w:bookmarkStart w:id="56" w:name="_Toc13516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5343_WPSOffice_Level2"/>
      <w:bookmarkStart w:id="58" w:name="_Toc8373_WPSOffice_Level2"/>
      <w:bookmarkStart w:id="59" w:name="_Toc25362_WPSOffice_Level2"/>
      <w:bookmarkStart w:id="60" w:name="_Toc17283_WPSOffice_Level2"/>
      <w:bookmarkStart w:id="61" w:name="_Toc17833_WPSOffice_Level2"/>
      <w:bookmarkStart w:id="62" w:name="_Toc263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1799_WPSOffice_Level2"/>
      <w:bookmarkStart w:id="64" w:name="_Toc13345_WPSOffice_Level2"/>
      <w:bookmarkStart w:id="65" w:name="_Toc5594_WPSOffice_Level2"/>
      <w:bookmarkStart w:id="66" w:name="_Toc6020_WPSOffice_Level2"/>
      <w:bookmarkStart w:id="67" w:name="_Toc1533_WPSOffice_Level2"/>
      <w:bookmarkStart w:id="68" w:name="_Toc21310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9961_WPSOffice_Level2"/>
      <w:bookmarkStart w:id="70" w:name="_Toc1820_WPSOffice_Level2"/>
      <w:bookmarkStart w:id="71" w:name="_Toc29886_WPSOffice_Level2"/>
      <w:bookmarkStart w:id="72" w:name="_Toc9377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31264_WPSOffice_Level1"/>
      <w:bookmarkStart w:id="74" w:name="_Toc28629_WPSOffice_Level1"/>
      <w:bookmarkStart w:id="75" w:name="_Toc27590_WPSOffice_Level1"/>
      <w:bookmarkStart w:id="76" w:name="_Toc4402_WPSOffice_Level1"/>
      <w:bookmarkStart w:id="77" w:name="_Toc29683_WPSOffice_Level1"/>
      <w:bookmarkStart w:id="78" w:name="_Toc16686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3,080.43</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3,080.43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年度相比，收入、支出总计各增加(减少)</w:t>
      </w:r>
      <w:r>
        <w:rPr>
          <w:rFonts w:hint="eastAsia" w:ascii="仿宋_GB2312" w:hAnsi="ˎ̥" w:eastAsia="仿宋_GB2312"/>
          <w:color w:val="FF0000"/>
          <w:sz w:val="32"/>
          <w:szCs w:val="32"/>
          <w:lang w:val="en-US" w:eastAsia="zh-CN"/>
        </w:rPr>
        <w:t>877.2</w:t>
      </w:r>
      <w:r>
        <w:rPr>
          <w:rFonts w:hint="eastAsia" w:ascii="仿宋_GB2312" w:hAnsi="ˎ̥" w:eastAsia="仿宋_GB2312"/>
          <w:sz w:val="32"/>
          <w:szCs w:val="32"/>
        </w:rPr>
        <w:t>万元，（下降）</w:t>
      </w:r>
      <w:r>
        <w:rPr>
          <w:rFonts w:hint="eastAsia" w:ascii="仿宋_GB2312" w:hAnsi="ˎ̥" w:eastAsia="仿宋_GB2312"/>
          <w:sz w:val="32"/>
          <w:szCs w:val="32"/>
          <w:lang w:val="en-US" w:eastAsia="zh-CN"/>
        </w:rPr>
        <w:t>15</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2024年卫健委无基建项目</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2,956.30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124.13</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2024年上级拨款专项资金未支出完</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w:t>
      </w:r>
      <w:r>
        <w:rPr>
          <w:rFonts w:hint="eastAsia" w:ascii="仿宋_GB2312" w:hAnsi="ˎ̥" w:eastAsia="仿宋_GB2312"/>
          <w:sz w:val="32"/>
          <w:szCs w:val="32"/>
          <w:lang w:val="en-US" w:eastAsia="zh-CN"/>
        </w:rPr>
        <w:t>减少519.1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4.18</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专项资金使用率较好较多</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3,080.43</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eastAsia" w:ascii="仿宋_GB2312" w:hAnsi="ˎ̥" w:eastAsia="仿宋_GB2312"/>
          <w:color w:val="FF0000"/>
          <w:sz w:val="32"/>
          <w:szCs w:val="32"/>
          <w:lang w:val="en-US" w:eastAsia="zh-CN"/>
        </w:rPr>
        <w:t>124.13</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卫生专项资金</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519.1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4.18</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2024年专项资金使用较好</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eastAsia" w:ascii="仿宋_GB2312" w:hAnsi="ˎ̥" w:eastAsia="仿宋_GB2312"/>
          <w:color w:val="FF0000"/>
          <w:sz w:val="32"/>
          <w:szCs w:val="32"/>
          <w:lang w:val="en-US" w:eastAsia="zh-CN"/>
        </w:rPr>
        <w:t>124.13</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卫生专项资金结转</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519.1</w:t>
      </w:r>
      <w:r>
        <w:rPr>
          <w:rFonts w:hint="eastAsia" w:ascii="仿宋_GB2312" w:hAnsi="ˎ̥" w:eastAsia="仿宋_GB2312"/>
          <w:sz w:val="32"/>
          <w:szCs w:val="32"/>
        </w:rPr>
        <w:t>万元，下降</w:t>
      </w:r>
      <w:r>
        <w:rPr>
          <w:rFonts w:hint="eastAsia" w:ascii="仿宋_GB2312" w:hAnsi="ˎ̥" w:eastAsia="仿宋_GB2312"/>
          <w:sz w:val="32"/>
          <w:szCs w:val="32"/>
          <w:lang w:val="en-US" w:eastAsia="zh-CN"/>
        </w:rPr>
        <w:t>4.18</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2024年专项资金使用率较高</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2,956.30</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2,956.30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95.9</w:t>
      </w:r>
      <w:r>
        <w:rPr>
          <w:rFonts w:hint="eastAsia" w:ascii="仿宋_GB2312" w:hAnsi="ˎ̥" w:eastAsia="仿宋_GB2312"/>
          <w:sz w:val="32"/>
          <w:szCs w:val="32"/>
        </w:rPr>
        <w:t>%；上级补助收入</w:t>
      </w:r>
      <w:r>
        <w:rPr>
          <w:rFonts w:hint="eastAsia" w:ascii="仿宋_GB2312" w:hAnsi="ˎ̥" w:eastAsia="仿宋_GB2312"/>
          <w:color w:val="FF0000"/>
          <w:sz w:val="32"/>
          <w:szCs w:val="32"/>
          <w:lang w:val="en-US" w:eastAsia="zh-CN"/>
        </w:rPr>
        <w:t>2956.3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95.9</w:t>
      </w:r>
      <w:r>
        <w:rPr>
          <w:rFonts w:hint="eastAsia" w:ascii="仿宋_GB2312" w:hAnsi="ˎ̥" w:eastAsia="仿宋_GB2312"/>
          <w:sz w:val="32"/>
          <w:szCs w:val="32"/>
        </w:rPr>
        <w:t>%；事业收入</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3,080.43</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148.59</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4.8</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2,931.84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95.17</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2,956.30</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3,080.43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年度相比，财政拨款收入（减少）</w:t>
      </w:r>
      <w:r>
        <w:rPr>
          <w:rFonts w:hint="eastAsia" w:ascii="仿宋_GB2312" w:hAnsi="ˎ̥" w:eastAsia="仿宋_GB2312"/>
          <w:color w:val="FF0000"/>
          <w:sz w:val="32"/>
          <w:szCs w:val="32"/>
          <w:lang w:val="en-US" w:eastAsia="zh-CN"/>
        </w:rPr>
        <w:t>1185.1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28.6</w:t>
      </w:r>
      <w:r>
        <w:rPr>
          <w:rFonts w:hint="eastAsia" w:ascii="仿宋_GB2312" w:hAnsi="ˎ̥" w:eastAsia="仿宋_GB2312"/>
          <w:sz w:val="32"/>
          <w:szCs w:val="32"/>
        </w:rPr>
        <w:t>%，主要原因：</w:t>
      </w:r>
      <w:r>
        <w:rPr>
          <w:rFonts w:hint="eastAsia" w:ascii="仿宋_GB2312" w:hAnsi="ˎ̥" w:eastAsia="仿宋_GB2312"/>
          <w:sz w:val="32"/>
          <w:szCs w:val="32"/>
          <w:lang w:val="en-US" w:eastAsia="zh-CN"/>
        </w:rPr>
        <w:t>2024年无基建项目</w:t>
      </w: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124.13</w:t>
      </w:r>
      <w:r>
        <w:rPr>
          <w:rFonts w:hint="eastAsia" w:ascii="仿宋_GB2312" w:hAnsi="ˎ̥" w:eastAsia="仿宋_GB2312"/>
          <w:sz w:val="32"/>
          <w:szCs w:val="32"/>
        </w:rPr>
        <w:t>万元，主要是</w:t>
      </w:r>
      <w:r>
        <w:rPr>
          <w:rFonts w:hint="eastAsia" w:ascii="仿宋_GB2312" w:hAnsi="ˎ̥" w:eastAsia="仿宋_GB2312"/>
          <w:sz w:val="32"/>
          <w:szCs w:val="32"/>
          <w:lang w:val="en-US" w:eastAsia="zh-CN"/>
        </w:rPr>
        <w:t>上级拨款专项资金未使用完</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年度决算数减少</w:t>
      </w:r>
      <w:r>
        <w:rPr>
          <w:rFonts w:hint="eastAsia" w:ascii="仿宋_GB2312" w:hAnsi="ˎ̥" w:eastAsia="仿宋_GB2312"/>
          <w:color w:val="FF0000"/>
          <w:sz w:val="32"/>
          <w:szCs w:val="32"/>
          <w:lang w:val="en-US" w:eastAsia="zh-CN"/>
        </w:rPr>
        <w:t>519.1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4.18</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2024年专项资金使用较好</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9989_WPSOffice_Level2"/>
      <w:bookmarkStart w:id="80" w:name="_Toc17398_WPSOffice_Level2"/>
      <w:bookmarkStart w:id="81" w:name="_Toc13694_WPSOffice_Level2"/>
      <w:bookmarkStart w:id="82" w:name="_Toc23005_WPSOffice_Level2"/>
      <w:bookmarkStart w:id="83" w:name="_Toc21737_WPSOffice_Level2"/>
      <w:bookmarkStart w:id="84" w:name="_Toc19665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3,080.43</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年度相比，财政拨款收入（减少）</w:t>
      </w:r>
      <w:r>
        <w:rPr>
          <w:rFonts w:hint="eastAsia" w:ascii="仿宋_GB2312" w:hAnsi="ˎ̥" w:eastAsia="仿宋_GB2312"/>
          <w:color w:val="FF0000"/>
          <w:sz w:val="32"/>
          <w:szCs w:val="32"/>
          <w:lang w:val="en-US" w:eastAsia="zh-CN"/>
        </w:rPr>
        <w:t>1185.1</w:t>
      </w:r>
      <w:r>
        <w:rPr>
          <w:rFonts w:hint="eastAsia" w:ascii="仿宋_GB2312" w:hAnsi="ˎ̥" w:eastAsia="仿宋_GB2312"/>
          <w:sz w:val="32"/>
          <w:szCs w:val="32"/>
        </w:rPr>
        <w:t>万元，下降</w:t>
      </w:r>
      <w:r>
        <w:rPr>
          <w:rFonts w:hint="eastAsia" w:ascii="仿宋_GB2312" w:hAnsi="ˎ̥" w:eastAsia="仿宋_GB2312"/>
          <w:color w:val="FF0000"/>
          <w:sz w:val="32"/>
          <w:szCs w:val="32"/>
          <w:lang w:val="en-US" w:eastAsia="zh-CN"/>
        </w:rPr>
        <w:t>28.6</w:t>
      </w:r>
      <w:r>
        <w:rPr>
          <w:rFonts w:hint="eastAsia" w:ascii="仿宋_GB2312" w:hAnsi="ˎ̥" w:eastAsia="仿宋_GB2312"/>
          <w:sz w:val="32"/>
          <w:szCs w:val="32"/>
        </w:rPr>
        <w:t>%，主要原因：</w:t>
      </w:r>
      <w:r>
        <w:rPr>
          <w:rFonts w:hint="eastAsia" w:ascii="仿宋_GB2312" w:hAnsi="ˎ̥" w:eastAsia="仿宋_GB2312"/>
          <w:sz w:val="32"/>
          <w:szCs w:val="32"/>
          <w:lang w:val="en-US" w:eastAsia="zh-CN"/>
        </w:rPr>
        <w:t>2024年无基建项目</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19075_WPSOffice_Level2"/>
      <w:bookmarkStart w:id="86" w:name="_Toc19535_WPSOffice_Level2"/>
      <w:bookmarkStart w:id="87" w:name="_Toc2711_WPSOffice_Level2"/>
      <w:bookmarkStart w:id="88" w:name="_Toc27767_WPSOffice_Level2"/>
      <w:bookmarkStart w:id="89" w:name="_Toc18793_WPSOffice_Level2"/>
      <w:bookmarkStart w:id="90" w:name="_Toc23864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3,080.43</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3080.43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14.12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0.4</w:t>
      </w:r>
      <w:r>
        <w:rPr>
          <w:rFonts w:hint="eastAsia" w:ascii="仿宋_GB2312" w:hAnsi="ˎ̥" w:eastAsia="仿宋_GB2312"/>
          <w:sz w:val="32"/>
          <w:szCs w:val="32"/>
        </w:rPr>
        <w:t>%；</w:t>
      </w:r>
      <w:r>
        <w:rPr>
          <w:rFonts w:hint="eastAsia" w:ascii="仿宋_GB2312" w:hAnsi="ˎ̥" w:eastAsia="仿宋_GB2312"/>
          <w:b/>
          <w:bCs/>
          <w:sz w:val="32"/>
          <w:szCs w:val="32"/>
        </w:rPr>
        <w:t>住房保障（类）</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11.4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0.37</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25136_WPSOffice_Level2"/>
      <w:bookmarkStart w:id="92" w:name="_Toc29364_WPSOffice_Level2"/>
      <w:bookmarkStart w:id="93" w:name="_Toc15415_WPSOffice_Level2"/>
      <w:bookmarkStart w:id="94" w:name="_Toc21701_WPSOffice_Level2"/>
      <w:bookmarkStart w:id="95" w:name="_Toc22318_WPSOffice_Level2"/>
      <w:bookmarkStart w:id="96" w:name="_Toc9502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3080.43</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3,080.43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148.59</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138.60</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10.00</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无政府性基金</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default" w:ascii="仿宋_GB2312" w:hAnsi="ˎ̥" w:eastAsia="仿宋_GB2312"/>
          <w:color w:val="FF0000"/>
          <w:sz w:val="32"/>
          <w:szCs w:val="32"/>
          <w:lang w:val="en-US"/>
        </w:rPr>
        <w:t>3,080.43</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3,080.43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无国有资本经营预算财政</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1.05</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1.05</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“三公”经费支出增加</w:t>
      </w:r>
      <w:r>
        <w:rPr>
          <w:rFonts w:hint="eastAsia" w:ascii="仿宋_GB2312" w:hAnsi="ˎ̥" w:eastAsia="仿宋_GB2312"/>
          <w:sz w:val="32"/>
          <w:szCs w:val="32"/>
          <w:lang w:val="en-US" w:eastAsia="zh-CN"/>
        </w:rPr>
        <w:t>0.5</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color w:val="FF0000"/>
          <w:sz w:val="32"/>
          <w:szCs w:val="32"/>
          <w:lang w:val="en-US" w:eastAsia="zh-CN"/>
        </w:rPr>
        <w:t>0.5</w:t>
      </w:r>
      <w:r>
        <w:rPr>
          <w:rFonts w:hint="eastAsia" w:ascii="仿宋_GB2312" w:hAnsi="ˎ̥" w:eastAsia="仿宋_GB2312"/>
          <w:sz w:val="32"/>
          <w:szCs w:val="32"/>
        </w:rPr>
        <w:t>%，</w:t>
      </w:r>
      <w:r>
        <w:rPr>
          <w:rFonts w:ascii="仿宋_GB2312" w:hAnsi="ˎ̥" w:eastAsia="仿宋_GB2312"/>
          <w:sz w:val="32"/>
          <w:szCs w:val="32"/>
        </w:rPr>
        <w:t>主要原因是</w:t>
      </w:r>
      <w:r>
        <w:rPr>
          <w:rFonts w:hint="eastAsia" w:ascii="仿宋_GB2312" w:hAnsi="ˎ̥" w:eastAsia="仿宋_GB2312"/>
          <w:sz w:val="32"/>
          <w:szCs w:val="32"/>
          <w:lang w:val="en-US" w:eastAsia="zh-CN"/>
        </w:rPr>
        <w:t>出差较多</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1.05</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0.5</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1.05</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辆，主要用于……，年末公务用车保有量</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1.05</w:t>
      </w:r>
      <w:r>
        <w:rPr>
          <w:rFonts w:hint="eastAsia" w:ascii="仿宋_GB2312" w:hAnsi="ˎ̥" w:eastAsia="仿宋_GB2312"/>
          <w:sz w:val="32"/>
          <w:szCs w:val="32"/>
        </w:rPr>
        <w:t>万元，主要用于</w:t>
      </w:r>
      <w:r>
        <w:rPr>
          <w:rFonts w:hint="eastAsia" w:ascii="仿宋_GB2312" w:hAnsi="ˎ̥" w:eastAsia="仿宋_GB2312"/>
          <w:sz w:val="32"/>
          <w:szCs w:val="32"/>
          <w:lang w:val="en-US" w:eastAsia="zh-CN"/>
        </w:rPr>
        <w:t>出差司机油料费报销</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根据财政预算绩效管理要求，可按照如下格式说明：根据预算管理要求，我部门（单位）组织对</w:t>
      </w:r>
      <w:r>
        <w:rPr>
          <w:rFonts w:hint="default" w:ascii="仿宋_GB2312" w:eastAsia="仿宋_GB2312"/>
          <w:sz w:val="32"/>
          <w:szCs w:val="32"/>
          <w:lang w:val="en-US"/>
        </w:rPr>
        <w:t>2024</w:t>
      </w:r>
      <w:r>
        <w:rPr>
          <w:rFonts w:hint="eastAsia" w:ascii="仿宋_GB2312" w:eastAsia="仿宋_GB2312"/>
          <w:sz w:val="32"/>
          <w:szCs w:val="32"/>
        </w:rPr>
        <w:t>年度一般公共预算项目支出全面开展绩效自评</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default" w:ascii="仿宋_GB2312" w:hAnsi="ˎ̥" w:eastAsia="仿宋_GB2312"/>
          <w:color w:val="FF0000"/>
          <w:sz w:val="32"/>
          <w:szCs w:val="32"/>
          <w:lang w:val="en-US"/>
        </w:rPr>
        <w:t>2,956.30</w:t>
      </w:r>
      <w:r>
        <w:rPr>
          <w:rFonts w:hint="eastAsia" w:ascii="仿宋_GB2312" w:eastAsia="仿宋_GB2312"/>
          <w:sz w:val="32"/>
          <w:szCs w:val="32"/>
          <w:lang w:val="en-US" w:eastAsia="zh-CN"/>
        </w:rPr>
        <w:t>万元，占一般公共预算项目支出总额的</w:t>
      </w:r>
      <w:r>
        <w:rPr>
          <w:rFonts w:hint="eastAsia" w:ascii="仿宋_GB2312" w:eastAsia="仿宋_GB2312"/>
          <w:color w:val="FF0000"/>
          <w:sz w:val="32"/>
          <w:szCs w:val="32"/>
          <w:lang w:val="en-US" w:eastAsia="zh-CN"/>
        </w:rPr>
        <w:t>95.9</w:t>
      </w:r>
      <w:r>
        <w:rPr>
          <w:rFonts w:hint="eastAsia" w:ascii="仿宋_GB2312" w:eastAsia="仿宋_GB2312"/>
          <w:sz w:val="32"/>
          <w:szCs w:val="32"/>
          <w:lang w:val="en-US" w:eastAsia="zh-CN"/>
        </w:rPr>
        <w:t>%</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共组织对“</w:t>
      </w:r>
      <w:r>
        <w:rPr>
          <w:rFonts w:hint="eastAsia" w:ascii="仿宋_GB2312" w:eastAsia="仿宋_GB2312"/>
          <w:color w:val="FF0000"/>
          <w:sz w:val="32"/>
          <w:szCs w:val="32"/>
          <w:lang w:val="en-US" w:eastAsia="zh-CN"/>
        </w:rPr>
        <w:t>住院分娩奖励补助资金等</w:t>
      </w:r>
      <w:r>
        <w:rPr>
          <w:rFonts w:hint="eastAsia" w:ascii="仿宋_GB2312" w:eastAsia="仿宋_GB2312"/>
          <w:sz w:val="32"/>
          <w:szCs w:val="32"/>
        </w:rPr>
        <w:t>”等</w:t>
      </w:r>
      <w:r>
        <w:rPr>
          <w:rFonts w:hint="eastAsia" w:ascii="仿宋_GB2312" w:eastAsia="仿宋_GB2312"/>
          <w:sz w:val="32"/>
          <w:szCs w:val="32"/>
          <w:lang w:val="en-US" w:eastAsia="zh-CN"/>
        </w:rPr>
        <w:t>34</w:t>
      </w:r>
      <w:r>
        <w:rPr>
          <w:rFonts w:hint="eastAsia" w:ascii="仿宋_GB2312" w:eastAsia="仿宋_GB2312"/>
          <w:sz w:val="32"/>
          <w:szCs w:val="32"/>
        </w:rPr>
        <w:t>个项目开展了部门评价，</w:t>
      </w:r>
      <w:r>
        <w:rPr>
          <w:rFonts w:hint="eastAsia" w:ascii="仿宋_GB2312" w:eastAsia="仿宋_GB2312"/>
          <w:sz w:val="32"/>
          <w:szCs w:val="32"/>
          <w:lang w:bidi="ar"/>
        </w:rPr>
        <w:t>涉及一般公共预算支出</w:t>
      </w:r>
      <w:r>
        <w:rPr>
          <w:rFonts w:hint="eastAsia" w:ascii="仿宋_GB2312" w:eastAsia="仿宋_GB2312"/>
          <w:color w:val="FF0000"/>
          <w:sz w:val="32"/>
          <w:szCs w:val="32"/>
          <w:lang w:val="en-US" w:eastAsia="zh-CN" w:bidi="ar"/>
        </w:rPr>
        <w:t>2956.3</w:t>
      </w:r>
      <w:r>
        <w:rPr>
          <w:rFonts w:hint="eastAsia" w:ascii="仿宋_GB2312" w:eastAsia="仿宋_GB2312"/>
          <w:sz w:val="32"/>
          <w:szCs w:val="32"/>
          <w:lang w:bidi="ar"/>
        </w:rPr>
        <w:t>万元，政府性基金预算支出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万元，国有资本经营预算支出</w:t>
      </w:r>
      <w:r>
        <w:rPr>
          <w:rFonts w:hint="eastAsia" w:ascii="仿宋_GB2312" w:eastAsia="仿宋_GB2312"/>
          <w:color w:val="FF0000"/>
          <w:sz w:val="32"/>
          <w:szCs w:val="32"/>
          <w:lang w:val="en-US" w:eastAsia="zh-CN" w:bidi="ar"/>
        </w:rPr>
        <w:t>0</w:t>
      </w:r>
      <w:r>
        <w:rPr>
          <w:rFonts w:hint="eastAsia" w:ascii="仿宋_GB2312" w:eastAsia="仿宋_GB2312"/>
          <w:sz w:val="32"/>
          <w:szCs w:val="32"/>
          <w:lang w:bidi="ar"/>
        </w:rPr>
        <w:t>万元。</w:t>
      </w:r>
      <w:r>
        <w:rPr>
          <w:rFonts w:hint="eastAsia" w:ascii="仿宋_GB2312" w:eastAsia="仿宋_GB2312"/>
          <w:sz w:val="32"/>
          <w:szCs w:val="32"/>
        </w:rPr>
        <w:t>从评价情况来看，</w:t>
      </w:r>
      <w:r>
        <w:rPr>
          <w:rFonts w:hint="eastAsia" w:ascii="仿宋_GB2312" w:eastAsia="仿宋_GB2312"/>
          <w:sz w:val="32"/>
          <w:szCs w:val="32"/>
          <w:lang w:val="en-US" w:eastAsia="zh-CN"/>
        </w:rPr>
        <w:t>总体较好</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sz w:val="32"/>
          <w:szCs w:val="32"/>
        </w:rPr>
      </w:pPr>
      <w:r>
        <w:rPr>
          <w:rFonts w:hint="eastAsia" w:ascii="楷体" w:hAnsi="楷体" w:eastAsia="楷体" w:cs="楷体"/>
          <w:bCs/>
          <w:sz w:val="32"/>
          <w:szCs w:val="32"/>
        </w:rPr>
        <w:t>（二）部门决算中项目绩效自评结果（预算部门、单位可根据实际情况反映重点项目绩效自评结果）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参照如下格式说明（表述应与决算内容保持一致）：我部门（单位）在部门决算中反映</w:t>
      </w:r>
      <w:r>
        <w:rPr>
          <w:rFonts w:hint="eastAsia" w:ascii="仿宋_GB2312" w:eastAsia="仿宋_GB2312"/>
          <w:color w:val="FF0000"/>
          <w:sz w:val="32"/>
          <w:szCs w:val="32"/>
          <w:lang w:val="en-US" w:eastAsia="zh-CN"/>
        </w:rPr>
        <w:t>住院分娩奖励补助资金</w:t>
      </w:r>
      <w:r>
        <w:rPr>
          <w:rFonts w:hint="eastAsia" w:ascii="仿宋_GB2312" w:eastAsia="仿宋_GB2312"/>
          <w:sz w:val="32"/>
          <w:szCs w:val="32"/>
        </w:rPr>
        <w:t>等</w:t>
      </w:r>
      <w:r>
        <w:rPr>
          <w:rFonts w:hint="eastAsia" w:ascii="仿宋_GB2312" w:eastAsia="仿宋_GB2312"/>
          <w:sz w:val="32"/>
          <w:szCs w:val="32"/>
          <w:lang w:val="en-US" w:eastAsia="zh-CN"/>
        </w:rPr>
        <w:t>34</w:t>
      </w:r>
      <w:r>
        <w:rPr>
          <w:rFonts w:hint="eastAsia" w:ascii="仿宋_GB2312" w:eastAsia="仿宋_GB2312"/>
          <w:sz w:val="32"/>
          <w:szCs w:val="32"/>
        </w:rPr>
        <w:t>个项目绩效自评结果</w:t>
      </w:r>
      <w:r>
        <w:rPr>
          <w:rFonts w:hint="eastAsia" w:ascii="仿宋_GB2312" w:eastAsia="仿宋_GB2312"/>
          <w:sz w:val="32"/>
          <w:szCs w:val="32"/>
          <w:lang w:val="en-US" w:eastAsia="zh-CN"/>
        </w:rPr>
        <w:t>均为较好及优</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部门评价项目数量在3个以内的，至少将1个部门评价报告向社会公开；部门评价项目数量大于3个的，至少将2个部门评价报告向社会公开。</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zh-CN"/>
        </w:rPr>
        <w:t>反映财政部门组织开展的预算部门（单位）重点项目财政评价情况，如有，可将评价报告附后。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32639_WPSOffice_Level2"/>
      <w:bookmarkStart w:id="98" w:name="_Toc18325_WPSOffice_Level2"/>
      <w:bookmarkStart w:id="99" w:name="_Toc5978_WPSOffice_Level2"/>
      <w:bookmarkStart w:id="100" w:name="_Toc15262_WPSOffice_Level2"/>
      <w:bookmarkStart w:id="101" w:name="_Toc15565_WPSOffice_Level2"/>
      <w:bookmarkStart w:id="102" w:name="_Toc23598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卫生健康委员会</w:t>
      </w:r>
      <w:r>
        <w:rPr>
          <w:rFonts w:hint="eastAsia" w:ascii="仿宋_GB2312" w:hAnsi="ˎ̥" w:eastAsia="仿宋_GB2312"/>
          <w:sz w:val="32"/>
          <w:szCs w:val="32"/>
        </w:rPr>
        <w:t>机关运行经费</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lang w:val="en-US" w:eastAsia="zh-CN"/>
        </w:rPr>
        <w:t>%。</w:t>
      </w:r>
      <w:r>
        <w:rPr>
          <w:rFonts w:hint="eastAsia" w:ascii="仿宋_GB2312" w:hAnsi="ˎ̥" w:eastAsia="仿宋_GB2312"/>
          <w:sz w:val="32"/>
          <w:szCs w:val="32"/>
        </w:rPr>
        <w:t>主要原因是：</w:t>
      </w:r>
      <w:r>
        <w:rPr>
          <w:rFonts w:hint="eastAsia" w:ascii="仿宋_GB2312" w:hAnsi="ˎ̥" w:eastAsia="仿宋_GB2312"/>
          <w:sz w:val="32"/>
          <w:szCs w:val="32"/>
          <w:lang w:bidi="ar"/>
        </w:rPr>
        <w:t xml:space="preserve">办公设施设备购置经费增加（减少）/资产运行维护支出增加（减少）/信息系统运行维护支出增加（减少）/人员编制数量增加（减少）/落实过紧日子要求压减 </w:t>
      </w:r>
      <w:r>
        <w:rPr>
          <w:rFonts w:hint="eastAsia" w:ascii="仿宋_GB2312" w:hAnsi="ˎ̥" w:eastAsia="仿宋_GB2312"/>
          <w:color w:val="FF0000"/>
          <w:sz w:val="32"/>
          <w:szCs w:val="32"/>
          <w:lang w:val="en-US" w:eastAsia="zh-CN" w:bidi="ar"/>
        </w:rPr>
        <w:t>0</w:t>
      </w:r>
      <w:r>
        <w:rPr>
          <w:rFonts w:hint="eastAsia" w:ascii="仿宋_GB2312" w:hAnsi="ˎ̥" w:eastAsia="仿宋_GB2312"/>
          <w:sz w:val="32"/>
          <w:szCs w:val="32"/>
          <w:lang w:bidi="ar"/>
        </w:rPr>
        <w:t>支出/……等</w:t>
      </w:r>
      <w:r>
        <w:rPr>
          <w:rFonts w:hint="eastAsia" w:ascii="仿宋_GB2312" w:hAnsi="ˎ̥" w:eastAsia="仿宋_GB2312"/>
          <w:sz w:val="32"/>
          <w:szCs w:val="32"/>
        </w:rPr>
        <w:t>（具体增减原因由</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3" w:name="_Toc13084_WPSOffice_Level2"/>
      <w:bookmarkStart w:id="104" w:name="_Toc23966_WPSOffice_Level2"/>
      <w:bookmarkStart w:id="105" w:name="_Toc32689_WPSOffice_Level2"/>
      <w:bookmarkStart w:id="106" w:name="_Toc30383_WPSOffice_Level2"/>
      <w:bookmarkStart w:id="107" w:name="_Toc25333_WPSOffice_Level2"/>
      <w:bookmarkStart w:id="108" w:name="_Toc3131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卫生健康委员会</w:t>
      </w:r>
      <w:r>
        <w:rPr>
          <w:rFonts w:hint="eastAsia" w:ascii="仿宋_GB2312" w:hAnsi="ˎ̥" w:eastAsia="仿宋_GB2312"/>
          <w:sz w:val="32"/>
          <w:szCs w:val="32"/>
        </w:rPr>
        <w:t>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19989_WPSOffice_Level2"/>
      <w:bookmarkStart w:id="110" w:name="_Toc527_WPSOffice_Level2"/>
      <w:bookmarkStart w:id="111" w:name="_Toc6016_WPSOffice_Level2"/>
      <w:bookmarkStart w:id="112" w:name="_Toc15129_WPSOffice_Level2"/>
      <w:bookmarkStart w:id="113" w:name="_Toc29584_WPSOffice_Level2"/>
      <w:bookmarkStart w:id="114" w:name="_Toc10902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default" w:ascii="仿宋_GB2312" w:hAnsi="ˎ̥" w:eastAsia="仿宋_GB2312"/>
          <w:color w:val="FF0000"/>
          <w:sz w:val="32"/>
          <w:szCs w:val="32"/>
          <w:lang w:val="en-US"/>
        </w:rPr>
        <w:t>XX</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辆，其他用车主要是……。</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17580_WPSOffice_Level1"/>
      <w:bookmarkStart w:id="116" w:name="_Toc11039_WPSOffice_Level1"/>
      <w:bookmarkStart w:id="117" w:name="_Toc8874_WPSOffice_Level1"/>
      <w:bookmarkStart w:id="118" w:name="_Toc4398_WPSOffice_Level1"/>
      <w:bookmarkStart w:id="119" w:name="_Toc15425_WPSOffice_Level1"/>
      <w:bookmarkStart w:id="120" w:name="_Toc8808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textAlignment w:val="auto"/>
      </w:pPr>
      <w:bookmarkStart w:id="121" w:name="_GoBack"/>
      <w:bookmarkEnd w:id="121"/>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YjExY2JlMzBlNmQ2ZTFmMmZkMjYyOWQ3ZmFlNDQ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DFE370B"/>
    <w:rsid w:val="1E3630B9"/>
    <w:rsid w:val="26EEC2B5"/>
    <w:rsid w:val="29472309"/>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186E29"/>
    <w:rsid w:val="4EA86137"/>
    <w:rsid w:val="4F586D55"/>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6561</Words>
  <Characters>7336</Characters>
  <Lines>67</Lines>
  <Paragraphs>18</Paragraphs>
  <TotalTime>13</TotalTime>
  <ScaleCrop>false</ScaleCrop>
  <LinksUpToDate>false</LinksUpToDate>
  <CharactersWithSpaces>7408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2026-01-20T02:30:56Z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