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申扎县发改委机关2024年度部门决算公开报告</w:t>
      </w:r>
    </w:p>
    <w:p>
      <w:pPr>
        <w:spacing w:line="578" w:lineRule="exact"/>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（公开文字说明参考模板）</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一、部门（单位）职责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年度部门决算公开表</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年度部门决算情况说明</w:t>
      </w:r>
      <w:r>
        <w:rPr>
          <w:sz w:val="32"/>
          <w:szCs w:val="32"/>
        </w:rPr>
        <w:tab/>
      </w:r>
      <w:r>
        <w:rPr>
          <w:sz w:val="32"/>
          <w:szCs w:val="32"/>
        </w:rPr>
        <w:fldChar w:fldCharType="end"/>
      </w:r>
      <w:r>
        <w:rPr>
          <w:rFonts w:hint="eastAsia"/>
          <w:sz w:val="32"/>
          <w:szCs w:val="32"/>
        </w:rPr>
        <w:t>3</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7"/>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7"/>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6"/>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23465_WPSOffice_Level1"/>
      <w:bookmarkStart w:id="3" w:name="_Toc10720_WPSOffice_Level1"/>
      <w:bookmarkStart w:id="4" w:name="_Toc10049_WPSOffice_Level1"/>
      <w:bookmarkStart w:id="5" w:name="_Toc22941_WPSOffice_Level1"/>
      <w:bookmarkStart w:id="6" w:name="_Toc1704_WPSOffice_Level1"/>
      <w:bookmarkStart w:id="7" w:name="_Toc32433_WPSOffice_Level1"/>
      <w:bookmarkStart w:id="8" w:name="_Toc24238_WPSOffice_Level2"/>
      <w:bookmarkStart w:id="9" w:name="_Toc20205_WPSOffice_Level2"/>
      <w:bookmarkStart w:id="10" w:name="_Toc26580_WPSOffice_Level2"/>
      <w:bookmarkStart w:id="11" w:name="_Toc32622_WPSOffice_Level2"/>
      <w:bookmarkStart w:id="12" w:name="_Toc20274_WPSOffice_Level2"/>
      <w:bookmarkStart w:id="13" w:name="_Toc14159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部门</w:t>
      </w:r>
      <w:bookmarkEnd w:id="8"/>
      <w:r>
        <w:rPr>
          <w:rFonts w:hint="eastAsia" w:ascii="黑体" w:hAnsi="黑体" w:eastAsia="黑体" w:cs="黑体"/>
          <w:sz w:val="32"/>
          <w:szCs w:val="32"/>
        </w:rPr>
        <w:t>（单位）职责</w:t>
      </w:r>
      <w:bookmarkEnd w:id="9"/>
      <w:bookmarkEnd w:id="10"/>
      <w:bookmarkEnd w:id="11"/>
      <w:bookmarkEnd w:id="12"/>
      <w:bookmarkEnd w:id="13"/>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1.贯彻执行国家发展改革战略规划。贯彻落实国民经济和社会发展战略，拟订并组织实施我县国民经济和社会发展中长期规划及年度计划。牵头组织县统一规划体系建设。负责县专项规划编制的立项和管理，负责县级专项规划、区域规划、国土空间规划与国家及自治区、市、县发展规划的统筹衔接。贯彻落实发展改革领域相关政策。</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贯彻落实着力创建高原经济高质量发展先行区和固边兴边富民行动示范区的总体目标、重要任务、年度计划以及相关措施。组织开展重大战略规划、重大政策、重大改革、重大工程等实施情况评估督导，提出相关调整建议。</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3.统筹提出全县国民经济和社会发展目标，监测预警预测宏观经济和社会发展态势趋势，提出宏观调控政策建议。牵头研究宏观经济应对措施以及经济安全、资源安全工作协调机协调解决经济运行中的重大问题。拟订并组制。调节经济运行，织实施价格政策，组织制定和调整县管理的重要商品、服务价格和重要收费标准。参与拟订全县财政、金融、土地等相关制度。</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4.指导推进和综合协调经济领域相关改革工作，提出相关改革建议。牵头推进供给侧结构性改革。协调推进产权制度和要素市场化配置改革。推动完善现代市场体系建设，会                                                                                                                                                                            同相关部门组织实施市场准入负面清单制度。</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5.根据授权，贯彻落实国家利用外资和境外投资的战略、规划、总量平衡和维构优化政筑措施。经授权，推动融入“一带建设：承担统等协调“完出去”有关工作。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6.负责投资综合管理。拟订全社会固定资产投资总规模、结构调控目标和具体措施。牵头扩大有效投资常态化协调推进机制。会同相关部门拟订政府投资项目审批权限和政府核准的固定资产投资项目目录。安排中央及自治区、市、县财政性建设资金，按规定权限审批、核准、审核重大项目。规划重大建设项目和生产力布局。负责组织协调包保项目的运行调度。</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7.组织拟订和实施区域协调发展、新型城镇化相关规划和具体措施。组织拟订和实施边境地区、贫困地区及其他特殊困难地区发展规划和具体措施，组织实施易地扶贫搬迁等。统筹协调区域合作工作。参与经济对口支援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8.组织拟订综合性产业规划和具体措施。协调一二三产业发展重要问题并统筹衔接相关发展规划。组织拟订并推动实施现代服务业、现代物流业发展规划。综合研判消费变动趋势，拟订实施促进消费的综合性政策措施。</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9.贯彻落实创新驱动发展战略。会同相关部门拟订推进创新创业规划和具体措施，提出创新发展和培育经济发展新动能建议。会同相关部门规划布局县重大科技基础设施。组织拟订并推动实施高技术产业和战略性新兴产业发展规划，协调产业升级、重大技术装备推广应用等方面的重大问题。统筹推进北斗规模化应用和卫星互联网建设等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10.跟踪研判涉及经济安全、生态安全、资源安全、科技安全、社会安全等各类风险隐患，提出相关工作建议。承担经济、生态、资源等重点领域国家安全工作协调机制相关工作。负责重要商品总量平衡和宏观调控，提出重要农产品进出口调控意见并协调落实。会同有关部门拟订县储备物资品种目录、总体发展规划。</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11.负责全县社会发展与国民经济发展的政策衔接，协调有关重大问题。组织拟订社会发展总体规划，统筹推进基本公共服务体系建设和收入分配制度改革，提出促进就业、完善社会保障与经济协调发展的建议。牵头开展社会信用体系建                设。牵头拟订并组织实施共同富裕重大规划及具体措施。</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12.贯彻落实可持续发展战略，推动生态文明建设和改革，协调生态环境保护和修复、能源资源节约和综合利用等工作。提出能源消费控制目标、任务并组织实施，负产促进有关工作。责县固定资产投资项目节能审查和评估工作。拟订并协调实施能源资源节约和综合利用、循环经济规划、碳达峰碳中和、节能综合工作方案。</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13.会同有关部门拟订推进经济建设与国防建设协调发展的规划。负责汇总县军民融合发展的总体需求，协调有关重大问题。会同有关部门完善边境地区县乡村三级医疗卫生服务体系建设和军地医疗卫生机构合作机制。协调和组织实施国民经济动员有关工作。组织协调国民经济平战转换能力建设。</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14.贯彻落实党中央有关铁路、航空等基础设施发展的方针、政策、规定。牵头重大基础设施建设协调机制。协调推进铁路和民航等重大基础设施建设发展。负责全县区域铁路网和民航规划、建设协调管理工作。负责铁路和民航有关方面的协调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15.组织拟订促进非公有制经济（民间投资）发展的具体措施建议，跟踪了解和分析研判民营经济发展状况，统筹协调、组织拟订全县促进民营经济发展的措施，制定促进民间投资发展具体措施。建立与民营企业的常态化沟通交流机制，协调解决民营经济发展重大问题，协调支持民营经济提升国际竞争力。</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16.加强全县粮食和物资储备工作组织规划，聚焦“四件大事”聚力“四个创建”，紧扣“四个示范市”传略任务，建立健全粮食产购储加销体系，加快推进应急物资储备体系建设，确保粮食和物资储备安全。</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17.贯彻落实粮食流通和物资储备管理相关政策。研究提出全县粮食流通和物资储备体制改革方案并组织实施。</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18.研究提出全县重要物资储备规划、储备品种目录的建议。提出粮食流通和物资储备各类投资和财政性资金投资方向、规模以及安排的建议。根据县储备总体发展规划和品种目录，组织实施全县重要和应急储备物资的收储、轮换和日常管理，落实有关动用计划和指令。</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19.管理全县粮食、食糖、棉花、石油、天然气等重要物资储备，负责全县储备粮食、食糖、棉花、石油、天然气等重要物资行政管理。根据管理权限，做好中央及自治区、市在我县储备物资的管理。监测县内外粮食和重要物资供求变化并预测预警，承担全县粮食流通宏观调控物具体工作，承担粮食安全县长责任制考核日常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20.拟订地方粮食和物资储备仓储管理有关技术标准和规范并组织实施。负责粮食流通、加工行业安全生产的监管责任。</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21.拟订粮食和物资储备基础设施、粮食流通设施建设规划并组织实施，管理有关储备基础设施和粮食流通设施投资项目。</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22.负责对管理的政府储备、企业储备以及储备政策落实情况进行监督检查。负责粮食流通监督检查，负责粮食收购、储存、运输环节粮食质量安全和原粮卫生的监督管理，组织实施全县粮食库存检查工作。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23.负责粮食流通行业管理，制定行业中长期发展规划、政策，拟订地方粮食流通和物资储备有关标准、粮食质量标准，制定有关技术规范并监督执行。负责全县储备粮实物垂直管理和军粮供应管理。负责粮食和物资储备的对外合作与交流。</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24.承担县耕地保护和粮食安全党政同责相关协调职责呵呵日常工作。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25.建立健全和管理全区统计信息自动化系统和统计数据库体系，组织、推广计算机及传输技术在全县统计工作中的运用，做好统计信息化系统建设。</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26.负责建立健全国防动员、人民防空工作制度。贯彻执行国家和自治区国防动员、人民防空工作法律法规和政策文件等，会同有关部门拟订县国防动员、人民防空制度、规划并组织实施，贯彻落实国防动员、人民防空工作相关政策。研究并提出全县国防动员、人民防空建设建议。责和日常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27.负责国防动员建设管理、动员准备、组织实施、经济动员（装备动员）、信息动员等事项，承担交通战备任务的综合协调和督导落实。统筹推进国防动员重要项目、专项工程、强边国防动员建设，协调解决跨领域跨地区跨部门国防动员重要问题。监督检查国防动员准备任务落实。参与国防动员军地协调机制具体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28.负责人民防空指挥体系建设，战时依法依令组织国防动员、人民防空斗争，协助参与有生力量转移和保护。指导群众防空组织建设和训练工作。组织开展国防动员、人民防空指挥训练演练及管理工作。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29.组织指导工程防护体系建设，协调重要目标规划布局、防护建设、全县军事设施保护工作。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30.负责人民防空工程（含结合民用建筑修建的人民防空地下室）监督管理，协调国防动员工程建设监督管理相关工作，协助抓好自治区国防动员、人民防空指挥场所的建设与日常管理工作，管理国防动员、人民防空经费和资产。</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31.负责国防动员、人民防空网络和信息化安全、建设相关工作。承担人民防空通信警报建设和国防动员、人民防空无线电管理等相关工作。管理国防动员、人民防空指挥信息保障工作。组织开展国防动员潜力调查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32.负责国防动员、人民防空依法行政和科技工作，开展国防动员法治宣传教育工作。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33.贯彻执行国家及自治区有关能源方针政策和法律法规，贯彻落实能源发展和有关管理相关政策，研究提出我县能源发展战略的建议，拟订能源发展规划和年度计划并组织实施。拟订能源领域改革方案，推进能源体制改革。协调解决能源发展和改革中的重大问题。</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34.负责全县煤炭、石油、天然气、电力、新能源和可再生能源等能源的行业管理，组织拟订能源行业标准。按照规定权限，审核（审批、核准）中央及自治区、市、县规划内能源固定资产投资项目。指导协调全县农牧区能源发展工作。</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35.牵头推进清洁能源产业工作。负责能源行业节能和资源综合利用，指导能源科技进步和引进消化创新，组织协调相关重大示范工程和推广新产品、新技术、新设备。加快培育清洁能源领域企业发展。坚持水光风热互补、源网荷储一体，大力发展水电、风电、光伏、地热等清洁能源产业，助力创建高原经济高质量发展先行区。</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36.负责能源预测预警，发布能源信息。指导监督能源消费总量控制有关工作。负责能源运行调度和应急保障，监测能源发展情况，衔接能源生产建设和供需平衡，提高能源安全保障能力。</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37.负责实施能源供应安全工程。拟订石油、天然气储备政策、规划，提出县石油、天然气储备收储、动用建议，按照规定权限审批或核准石油、天然气储备设施项目。</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38.推进全县能源市场建设，规范能源市场秩序。监督电力调度及绿电市场交易。研究提出能源普遍服务政策的建议并监督实施。</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39.负责开展能源对外合作。在市能源局指导下，拟订开展县（区）之间能源资源合作的发展规划。协调解决能源合作中的重大问题。按照规定权限，核准或审核能源境外投资项目。</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40.参与制定与能源相关的资源、财税、环保及应对气候变化等政策，提出能源产品价格调整建议。</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41.贯彻落实国家和自治区统计调查计划和制定全县统计指标体系；完成国家及自治区、市、县人民政府统计调查任务，执行统一标准和基本统计报表。</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42.贯彻执行国家关于统计工作的方针政策和法律法规，拟订统计发展规划，监督检查统计法律法规的实施，承担组织领导和协调全县统计工作，确保统计数据真实、准确、及时的责任。指导全县统计工作。</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43.建立健全全县国民经济核算体系，拟订国民经济核算制度，组织实施全县国民经济核算制度和全县投入产出调查，核算全县地区生产总值，汇编提供国民经济核算资料，监督管理国民经济核算工作。</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44.会同有关部门组织实施全县人口、经济、农业等重大国清国力和县情县力普查，统一协调各乡（镇）各部门的社会经济抽样调查，汇总、整理和提供有关国情国力和县情县力方面的统计数据。</w:t>
      </w:r>
    </w:p>
    <w:p>
      <w:pPr>
        <w:pStyle w:val="6"/>
        <w:adjustRightInd/>
        <w:snapToGrid/>
        <w:spacing w:before="0" w:beforeAutospacing="0" w:after="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45.组织实施农林牧渔业、工业、建筑业、批发和零售业、住宿和餐饮业、房地产业、租赁、各类服务业和社会福利业等统计调查，收集、汇总、整理和提供有关调查的统计数据，综合整理提供地质勘查、旅游、交通运输、邮政、教育、卫生、</w:t>
      </w:r>
    </w:p>
    <w:p>
      <w:pPr>
        <w:pStyle w:val="6"/>
        <w:adjustRightInd/>
        <w:snapToGrid/>
        <w:spacing w:beforeAutospacing="0" w:afterAutospacing="0" w:line="576" w:lineRule="exact"/>
        <w:rPr>
          <w:rFonts w:ascii="仿宋" w:hAnsi="仿宋" w:eastAsia="仿宋" w:cs="方正仿宋简体"/>
          <w:color w:val="000000"/>
          <w:sz w:val="32"/>
          <w:szCs w:val="32"/>
        </w:rPr>
      </w:pPr>
      <w:r>
        <w:rPr>
          <w:rFonts w:hint="eastAsia" w:ascii="仿宋" w:hAnsi="仿宋" w:eastAsia="仿宋" w:cs="方正仿宋简体"/>
          <w:color w:val="000000"/>
          <w:sz w:val="32"/>
          <w:szCs w:val="32"/>
        </w:rPr>
        <w:t>社会保障、公用事业等全县性基本统计数据。</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46.组织实施能源、投资、消费、科技、人口、社会发展基本情况、环境基本状况等统计调查，收集、汇总、整理和提供有关调查的统计数据，综合整理和提供资源、房屋、对外贸易、对外经济等全县性基本统计数据。</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47组织各乡（镇）各部门的经济、社会、科技和资源环境统计调查。统一核定、管理、公布全县性基本统计资料，定期发布全县国民经济和社会发展情况的统计信息，组织建立服务业统计信息共享制度的发布制度。</w:t>
      </w:r>
    </w:p>
    <w:p>
      <w:pPr>
        <w:pStyle w:val="6"/>
        <w:numPr>
          <w:ilvl w:val="0"/>
          <w:numId w:val="3"/>
        </w:numPr>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对国民经济、社会发展、科技进步和资源环境等情况进行统计分析、统计预测和统计监督，向县委、县政府及有关部门提供统计信息和咨询建议。</w:t>
      </w:r>
    </w:p>
    <w:p>
      <w:pPr>
        <w:pStyle w:val="6"/>
        <w:adjustRightInd/>
        <w:snapToGrid/>
        <w:spacing w:beforeAutospacing="0" w:afterAutospacing="0" w:line="576" w:lineRule="exact"/>
        <w:ind w:firstLine="640" w:firstLineChars="200"/>
        <w:rPr>
          <w:rFonts w:ascii="仿宋" w:hAnsi="仿宋" w:eastAsia="仿宋" w:cs="方正仿宋简体"/>
          <w:color w:val="000000"/>
          <w:sz w:val="32"/>
          <w:szCs w:val="32"/>
        </w:rPr>
      </w:pPr>
      <w:r>
        <w:rPr>
          <w:rFonts w:hint="eastAsia" w:ascii="仿宋" w:hAnsi="仿宋" w:eastAsia="仿宋" w:cs="方正仿宋简体"/>
          <w:color w:val="000000"/>
          <w:sz w:val="32"/>
          <w:szCs w:val="32"/>
        </w:rPr>
        <w:t>49.依法审批和备案县直各部门统计调查项目，指导专业统计基础工作、统计基层业务基础建设，组织建立服务业统计信息管理制度，建立健全统计数据质量审核、监控和评估制度，开展对重要统计数据的审核、监控和评估，依法监督管理涉外调查活动。</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50.负责全县统计队伍建设，监督管理由自治区、市财政投资的统计经费和专项基本建设投资。</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51.负责本行业本领域安全生产监管和应急处置工作。</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52.完成县委、县政府交办的其他任务。</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 xml:space="preserve">53.商务领域相关工作，指导全县商业网点、商品市场（现货交易类）规划及商业体系建设工作，牵头商务领域信用体系建设、电子商务、物业流通和连锁经营、商业特许经营等工作。                                                                                                                                                                                                                                                                                                      </w:t>
      </w:r>
    </w:p>
    <w:p>
      <w:pPr>
        <w:pStyle w:val="6"/>
        <w:adjustRightInd/>
        <w:snapToGrid/>
        <w:spacing w:beforeAutospacing="0" w:afterAutospacing="0" w:line="576" w:lineRule="exact"/>
        <w:ind w:firstLine="527"/>
        <w:rPr>
          <w:rFonts w:ascii="仿宋" w:hAnsi="仿宋" w:eastAsia="仿宋" w:cs="方正仿宋简体"/>
          <w:color w:val="000000"/>
          <w:sz w:val="32"/>
          <w:szCs w:val="32"/>
        </w:rPr>
      </w:pPr>
      <w:r>
        <w:rPr>
          <w:rFonts w:hint="eastAsia" w:ascii="仿宋" w:hAnsi="仿宋" w:eastAsia="仿宋" w:cs="方正仿宋简体"/>
          <w:color w:val="000000"/>
          <w:sz w:val="32"/>
          <w:szCs w:val="32"/>
        </w:rPr>
        <w:t>54、统筹全县招商引资工作，牵头组织前举办的引商引资活动，协商外来举办投资洽谈会等各类招商引资活动，组织参加县外各类招商引资投资洽谈会。</w:t>
      </w:r>
    </w:p>
    <w:p>
      <w:pPr>
        <w:numPr>
          <w:ilvl w:val="0"/>
          <w:numId w:val="0"/>
        </w:numPr>
        <w:spacing w:line="578" w:lineRule="exact"/>
        <w:rPr>
          <w:rFonts w:hint="eastAsia" w:ascii="黑体" w:hAnsi="黑体" w:eastAsia="黑体" w:cs="黑体"/>
          <w:sz w:val="32"/>
          <w:szCs w:val="32"/>
        </w:rPr>
      </w:pPr>
    </w:p>
    <w:p>
      <w:pPr>
        <w:spacing w:line="578" w:lineRule="exact"/>
        <w:ind w:firstLine="640" w:firstLineChars="200"/>
        <w:rPr>
          <w:rFonts w:hint="eastAsia" w:ascii="黑体" w:hAnsi="黑体" w:eastAsia="黑体" w:cs="黑体"/>
          <w:sz w:val="32"/>
          <w:szCs w:val="32"/>
        </w:rPr>
      </w:pPr>
      <w:bookmarkStart w:id="14" w:name="_Toc24059_WPSOffice_Level2"/>
      <w:bookmarkStart w:id="15" w:name="_Toc4833_WPSOffice_Level2"/>
      <w:bookmarkStart w:id="16" w:name="_Toc24474_WPSOffice_Level2"/>
      <w:bookmarkStart w:id="17" w:name="_Toc6572_WPSOffice_Level2"/>
      <w:bookmarkStart w:id="18" w:name="_Toc17796_WPSOffice_Level2"/>
      <w:r>
        <w:rPr>
          <w:rFonts w:hint="eastAsia" w:ascii="黑体" w:hAnsi="黑体" w:eastAsia="黑体" w:cs="黑体"/>
          <w:sz w:val="32"/>
          <w:szCs w:val="32"/>
        </w:rPr>
        <w:t>二、机构设置</w:t>
      </w:r>
      <w:bookmarkEnd w:id="14"/>
      <w:bookmarkEnd w:id="15"/>
      <w:bookmarkEnd w:id="16"/>
      <w:bookmarkEnd w:id="17"/>
      <w:bookmarkEnd w:id="18"/>
    </w:p>
    <w:p>
      <w:pPr>
        <w:spacing w:line="578" w:lineRule="exact"/>
        <w:ind w:firstLine="640" w:firstLineChars="200"/>
        <w:rPr>
          <w:rFonts w:hint="eastAsia" w:ascii="仿宋_GB2312" w:hAnsi="ˎ̥" w:eastAsia="仿宋_GB2312"/>
          <w:sz w:val="32"/>
          <w:szCs w:val="32"/>
          <w:lang w:eastAsia="zh-CN"/>
        </w:rPr>
      </w:pPr>
      <w:r>
        <w:rPr>
          <w:rFonts w:hint="eastAsia" w:ascii="仿宋_GB2312" w:hAnsi="ˎ̥" w:eastAsia="仿宋_GB2312"/>
          <w:sz w:val="32"/>
          <w:szCs w:val="32"/>
        </w:rPr>
        <w:t>纳入</w:t>
      </w:r>
      <w:r>
        <w:rPr>
          <w:rFonts w:hint="eastAsia" w:ascii="仿宋_GB2312" w:hAnsi="ˎ̥" w:eastAsia="仿宋_GB2312"/>
          <w:color w:val="FF0000"/>
          <w:sz w:val="32"/>
          <w:szCs w:val="32"/>
          <w:lang w:val="en-US" w:eastAsia="zh-CN"/>
        </w:rPr>
        <w:t>申扎县</w:t>
      </w:r>
      <w:r>
        <w:rPr>
          <w:rFonts w:hint="default" w:ascii="仿宋_GB2312" w:hAnsi="ˎ̥" w:eastAsia="仿宋_GB2312"/>
          <w:sz w:val="32"/>
          <w:szCs w:val="32"/>
          <w:lang w:val="en-US"/>
        </w:rPr>
        <w:t>2024</w:t>
      </w:r>
      <w:r>
        <w:rPr>
          <w:rFonts w:hint="eastAsia" w:ascii="仿宋_GB2312" w:hAnsi="ˎ̥" w:eastAsia="仿宋_GB2312"/>
          <w:sz w:val="32"/>
          <w:szCs w:val="32"/>
        </w:rPr>
        <w:t>年度部门决算编制范围的单位共</w:t>
      </w:r>
      <w:r>
        <w:rPr>
          <w:rFonts w:hint="eastAsia" w:ascii="仿宋_GB2312" w:hAnsi="ˎ̥" w:eastAsia="仿宋_GB2312"/>
          <w:color w:val="FF0000"/>
          <w:sz w:val="32"/>
          <w:szCs w:val="32"/>
          <w:lang w:val="en-US" w:eastAsia="zh-CN"/>
        </w:rPr>
        <w:t>1</w:t>
      </w:r>
      <w:r>
        <w:rPr>
          <w:rFonts w:hint="eastAsia" w:ascii="仿宋_GB2312" w:hAnsi="ˎ̥" w:eastAsia="仿宋_GB2312"/>
          <w:sz w:val="32"/>
          <w:szCs w:val="32"/>
        </w:rPr>
        <w:t>个</w:t>
      </w:r>
      <w:r>
        <w:rPr>
          <w:rFonts w:hint="eastAsia" w:ascii="仿宋_GB2312" w:hAnsi="ˎ̥" w:eastAsia="仿宋_GB2312"/>
          <w:sz w:val="32"/>
          <w:szCs w:val="32"/>
          <w:lang w:eastAsia="zh-CN"/>
        </w:rPr>
        <w:t>。</w:t>
      </w:r>
    </w:p>
    <w:p>
      <w:pPr>
        <w:numPr>
          <w:ilvl w:val="0"/>
          <w:numId w:val="4"/>
        </w:numPr>
        <w:spacing w:line="578" w:lineRule="exact"/>
        <w:ind w:firstLine="640" w:firstLineChars="200"/>
        <w:rPr>
          <w:rFonts w:hint="eastAsia" w:ascii="方正楷体_GBK" w:hAnsi="方正楷体_GBK" w:eastAsia="方正楷体_GBK" w:cs="方正楷体_GBK"/>
          <w:sz w:val="32"/>
          <w:szCs w:val="32"/>
        </w:rPr>
      </w:pPr>
      <w:bookmarkStart w:id="19" w:name="_Toc25738_WPSOffice_Level2"/>
      <w:bookmarkStart w:id="20" w:name="_Toc24421_WPSOffice_Level2"/>
      <w:r>
        <w:rPr>
          <w:rFonts w:hint="eastAsia" w:ascii="方正楷体_GBK" w:hAnsi="方正楷体_GBK" w:eastAsia="方正楷体_GBK" w:cs="方正楷体_GBK"/>
          <w:sz w:val="32"/>
          <w:szCs w:val="32"/>
          <w:lang w:val="en-US" w:eastAsia="zh-CN"/>
        </w:rPr>
        <w:t>申扎县</w:t>
      </w:r>
      <w:r>
        <w:rPr>
          <w:rFonts w:hint="eastAsia" w:ascii="方正楷体_GBK" w:hAnsi="方正楷体_GBK" w:eastAsia="方正楷体_GBK" w:cs="方正楷体_GBK"/>
          <w:sz w:val="32"/>
          <w:szCs w:val="32"/>
        </w:rPr>
        <w:t>部门本级</w:t>
      </w:r>
      <w:bookmarkEnd w:id="19"/>
      <w:bookmarkEnd w:id="20"/>
      <w:bookmarkStart w:id="21" w:name="_Toc30690_WPSOffice_Level1"/>
      <w:bookmarkStart w:id="22" w:name="_Toc6234_WPSOffice_Level1"/>
      <w:bookmarkStart w:id="23" w:name="_Toc8164_WPSOffice_Level1"/>
      <w:bookmarkStart w:id="24" w:name="_Toc30451_WPSOffice_Level1"/>
      <w:bookmarkStart w:id="25" w:name="_Toc28253_WPSOffice_Level1"/>
      <w:bookmarkStart w:id="26" w:name="_Toc15521_WPSOffice_Level1"/>
      <w:bookmarkStart w:id="27" w:name="_Toc11518_WPSOffice_Level2"/>
      <w:bookmarkStart w:id="28" w:name="_Toc32472_WPSOffice_Level2"/>
      <w:bookmarkStart w:id="29" w:name="_Toc32695_WPSOffice_Level2"/>
      <w:bookmarkStart w:id="30" w:name="_Toc6211_WPSOffice_Level2"/>
      <w:bookmarkStart w:id="31" w:name="_Toc4029_WPSOffice_Level2"/>
      <w:bookmarkStart w:id="32" w:name="_Toc8867_WPSOffice_Level2"/>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numPr>
          <w:ilvl w:val="0"/>
          <w:numId w:val="0"/>
        </w:numPr>
        <w:spacing w:line="578" w:lineRule="exact"/>
        <w:rPr>
          <w:rFonts w:hint="eastAsia" w:ascii="方正楷体_GBK" w:hAnsi="方正楷体_GBK" w:eastAsia="方正楷体_GBK" w:cs="方正楷体_GBK"/>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年度部门决算公开报表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14349_WPSOffice_Level2"/>
      <w:bookmarkStart w:id="34" w:name="_Toc23139_WPSOffice_Level2"/>
      <w:bookmarkStart w:id="35" w:name="_Toc30334_WPSOffice_Level2"/>
      <w:bookmarkStart w:id="36" w:name="_Toc26621_WPSOffice_Level2"/>
      <w:bookmarkStart w:id="37" w:name="_Toc25608_WPSOffice_Level2"/>
      <w:bookmarkStart w:id="38" w:name="_Toc28622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3262_WPSOffice_Level2"/>
      <w:bookmarkStart w:id="40" w:name="_Toc17626_WPSOffice_Level2"/>
      <w:bookmarkStart w:id="41" w:name="_Toc14658_WPSOffice_Level2"/>
      <w:bookmarkStart w:id="42" w:name="_Toc5489_WPSOffice_Level2"/>
      <w:bookmarkStart w:id="43" w:name="_Toc13854_WPSOffice_Level2"/>
      <w:bookmarkStart w:id="44" w:name="_Toc17858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3493_WPSOffice_Level2"/>
      <w:bookmarkStart w:id="46" w:name="_Toc7988_WPSOffice_Level2"/>
      <w:bookmarkStart w:id="47" w:name="_Toc21415_WPSOffice_Level2"/>
      <w:bookmarkStart w:id="48" w:name="_Toc4265_WPSOffice_Level2"/>
      <w:bookmarkStart w:id="49" w:name="_Toc13701_WPSOffice_Level2"/>
      <w:bookmarkStart w:id="50"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2783_WPSOffice_Level2"/>
      <w:bookmarkStart w:id="53" w:name="_Toc23829_WPSOffice_Level2"/>
      <w:bookmarkStart w:id="54" w:name="_Toc25166_WPSOffice_Level2"/>
      <w:bookmarkStart w:id="55" w:name="_Toc13516_WPSOffice_Level2"/>
      <w:bookmarkStart w:id="56" w:name="_Toc2158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25362_WPSOffice_Level2"/>
      <w:bookmarkStart w:id="59" w:name="_Toc17833_WPSOffice_Level2"/>
      <w:bookmarkStart w:id="60" w:name="_Toc8373_WPSOffice_Level2"/>
      <w:bookmarkStart w:id="61" w:name="_Toc5343_WPSOffice_Level2"/>
      <w:bookmarkStart w:id="62"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6020_WPSOffice_Level2"/>
      <w:bookmarkStart w:id="64" w:name="_Toc11799_WPSOffice_Level2"/>
      <w:bookmarkStart w:id="65" w:name="_Toc5594_WPSOffice_Level2"/>
      <w:bookmarkStart w:id="66" w:name="_Toc13345_WPSOffice_Level2"/>
      <w:bookmarkStart w:id="67" w:name="_Toc21310_WPSOffice_Level2"/>
      <w:bookmarkStart w:id="68" w:name="_Toc1533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1820_WPSOffice_Level2"/>
      <w:bookmarkStart w:id="70" w:name="_Toc19961_WPSOffice_Level2"/>
      <w:bookmarkStart w:id="71" w:name="_Toc29886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8629_WPSOffice_Level1"/>
      <w:bookmarkStart w:id="74" w:name="_Toc16686_WPSOffice_Level1"/>
      <w:bookmarkStart w:id="75" w:name="_Toc29683_WPSOffice_Level1"/>
      <w:bookmarkStart w:id="76" w:name="_Toc4402_WPSOffice_Level1"/>
      <w:bookmarkStart w:id="77" w:name="_Toc27590_WPSOffice_Level1"/>
      <w:bookmarkStart w:id="78" w:name="_Toc31264_WPSOffice_Level1"/>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年度部门决算情况说明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年度收入总计</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万元，支出总计</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年度相比，收入、支出总计各增加</w:t>
      </w:r>
      <w:r>
        <w:rPr>
          <w:rFonts w:hint="eastAsia" w:ascii="仿宋_GB2312" w:hAnsi="ˎ̥" w:eastAsia="仿宋_GB2312"/>
          <w:sz w:val="32"/>
          <w:szCs w:val="32"/>
          <w:lang w:val="en-US" w:eastAsia="zh-CN"/>
        </w:rPr>
        <w:t>981.24</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109.06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因机构改革，发改、统计、经信3家单位合并为1家单位，导致收入支出增长较明显。</w:t>
      </w:r>
    </w:p>
    <w:p>
      <w:pPr>
        <w:keepNext w:val="0"/>
        <w:keepLines w:val="0"/>
        <w:pageBreakBefore w:val="0"/>
        <w:widowControl w:val="0"/>
        <w:numPr>
          <w:ilvl w:val="0"/>
          <w:numId w:val="5"/>
        </w:numPr>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sz w:val="32"/>
          <w:szCs w:val="32"/>
        </w:rPr>
      </w:pPr>
      <w:r>
        <w:rPr>
          <w:rFonts w:hint="eastAsia" w:ascii="楷体" w:hAnsi="楷体" w:eastAsia="楷体" w:cs="楷体"/>
          <w:sz w:val="32"/>
          <w:szCs w:val="32"/>
        </w:rPr>
        <w:t>（一</w:t>
      </w:r>
      <w:r>
        <w:rPr>
          <w:rFonts w:ascii="楷体" w:hAnsi="楷体" w:eastAsia="楷体" w:cs="楷体"/>
          <w:sz w:val="32"/>
          <w:szCs w:val="32"/>
        </w:rPr>
        <w:t>）</w:t>
      </w:r>
      <w:r>
        <w:rPr>
          <w:rFonts w:hint="eastAsia" w:ascii="楷体" w:hAnsi="楷体" w:eastAsia="楷体" w:cs="楷体"/>
          <w:sz w:val="32"/>
          <w:szCs w:val="32"/>
        </w:rPr>
        <w:t>收入</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本年</w:t>
      </w:r>
      <w:r>
        <w:rPr>
          <w:rFonts w:ascii="仿宋_GB2312" w:hAnsi="ˎ̥" w:eastAsia="仿宋_GB2312"/>
          <w:sz w:val="32"/>
          <w:szCs w:val="32"/>
        </w:rPr>
        <w:t>收入</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使用非财政拨款结余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lang w:eastAsia="zh-CN"/>
        </w:rPr>
      </w:pPr>
      <w:r>
        <w:rPr>
          <w:rFonts w:hint="eastAsia" w:ascii="楷体" w:hAnsi="楷体" w:eastAsia="楷体" w:cs="楷体"/>
          <w:sz w:val="32"/>
          <w:szCs w:val="32"/>
        </w:rPr>
        <w:t>（二</w:t>
      </w:r>
      <w:r>
        <w:rPr>
          <w:rFonts w:ascii="楷体" w:hAnsi="楷体" w:eastAsia="楷体" w:cs="楷体"/>
          <w:sz w:val="32"/>
          <w:szCs w:val="32"/>
        </w:rPr>
        <w:t>）</w:t>
      </w:r>
      <w:r>
        <w:rPr>
          <w:rFonts w:hint="eastAsia" w:ascii="楷体" w:hAnsi="楷体" w:eastAsia="楷体" w:cs="楷体"/>
          <w:sz w:val="32"/>
          <w:szCs w:val="32"/>
        </w:rPr>
        <w:t>支出</w:t>
      </w:r>
      <w:r>
        <w:rPr>
          <w:rFonts w:ascii="楷体" w:hAnsi="楷体" w:eastAsia="楷体" w:cs="楷体"/>
          <w:sz w:val="32"/>
          <w:szCs w:val="32"/>
        </w:rPr>
        <w:t>总计</w:t>
      </w:r>
      <w:r>
        <w:rPr>
          <w:rFonts w:hint="eastAsia" w:ascii="楷体" w:hAnsi="楷体" w:eastAsia="楷体" w:cs="楷体"/>
          <w:sz w:val="32"/>
          <w:szCs w:val="32"/>
        </w:rPr>
        <w:t>主要</w:t>
      </w:r>
      <w:r>
        <w:rPr>
          <w:rFonts w:ascii="楷体" w:hAnsi="楷体" w:eastAsia="楷体" w:cs="楷体"/>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sz w:val="32"/>
          <w:szCs w:val="32"/>
        </w:rPr>
      </w:pPr>
      <w:r>
        <w:rPr>
          <w:rFonts w:hint="eastAsia" w:ascii="仿宋_GB2312" w:hAnsi="ˎ̥" w:eastAsia="仿宋_GB2312"/>
          <w:sz w:val="32"/>
          <w:szCs w:val="32"/>
        </w:rPr>
        <w:t>结余分配</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万元，主要是……（资金分配去向），较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万元，主要是……（简要说明结转结余的构成），较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年度相关决算数据可取自附件财决公开01、02</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03</w:t>
      </w:r>
      <w:r>
        <w:rPr>
          <w:rFonts w:hint="eastAsia" w:ascii="仿宋_GB2312" w:hAnsi="ˎ̥" w:eastAsia="仿宋_GB2312"/>
          <w:sz w:val="32"/>
          <w:szCs w:val="32"/>
        </w:rPr>
        <w:t>表；</w:t>
      </w:r>
      <w:r>
        <w:rPr>
          <w:rFonts w:hint="default" w:ascii="仿宋_GB2312" w:hAnsi="ˎ̥" w:eastAsia="仿宋_GB2312"/>
          <w:sz w:val="32"/>
          <w:szCs w:val="32"/>
          <w:lang w:val="en-US"/>
        </w:rPr>
        <w:t>2023</w:t>
      </w:r>
      <w:r>
        <w:rPr>
          <w:rFonts w:hint="eastAsia" w:ascii="仿宋_GB2312" w:hAnsi="ˎ̥" w:eastAsia="仿宋_GB2312"/>
          <w:sz w:val="32"/>
          <w:szCs w:val="32"/>
        </w:rPr>
        <w:t>年度相关决算数据可取自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年度部门决算报表财决01表《收入支出决算总表》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黑体" w:hAnsi="黑体" w:eastAsia="黑体" w:cs="黑体"/>
          <w:bCs/>
          <w:sz w:val="32"/>
          <w:szCs w:val="32"/>
        </w:rPr>
        <w:t>二、收入决算情况说明</w:t>
      </w:r>
      <w:r>
        <w:rPr>
          <w:rFonts w:hint="eastAsia" w:ascii="黑体" w:hAnsi="黑体" w:eastAsia="黑体" w:cs="黑体"/>
          <w:bCs/>
          <w:sz w:val="32"/>
          <w:szCs w:val="32"/>
        </w:rPr>
        <w:br w:type="textWrapping"/>
      </w:r>
      <w:r>
        <w:rPr>
          <w:rFonts w:hint="eastAsia" w:ascii="仿宋_GB2312" w:hAnsi="ˎ̥" w:eastAsia="仿宋_GB2312"/>
          <w:sz w:val="32"/>
          <w:szCs w:val="32"/>
        </w:rPr>
        <w:t xml:space="preserve">    本年收入</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万元，其中：财政拨款收入</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%；上级补助收入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%；事业收入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%；附属单位上缴收入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%；其他收入</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left="412" w:leftChars="196"/>
        <w:textAlignment w:val="auto"/>
        <w:rPr>
          <w:rFonts w:hint="eastAsia" w:ascii="仿宋_GB2312" w:hAnsi="ˎ̥" w:eastAsia="仿宋_GB2312"/>
          <w:sz w:val="32"/>
          <w:szCs w:val="32"/>
        </w:rPr>
      </w:pPr>
      <w:r>
        <w:rPr>
          <w:rFonts w:hint="eastAsia" w:ascii="仿宋_GB2312" w:hAnsi="ˎ̥" w:eastAsia="仿宋_GB2312"/>
          <w:sz w:val="32"/>
          <w:szCs w:val="32"/>
        </w:rPr>
        <w:t xml:space="preserve">  （注</w:t>
      </w:r>
      <w:r>
        <w:rPr>
          <w:rFonts w:ascii="仿宋_GB2312" w:hAnsi="ˎ̥" w:eastAsia="仿宋_GB2312"/>
          <w:sz w:val="32"/>
          <w:szCs w:val="32"/>
        </w:rPr>
        <w:t>：</w:t>
      </w:r>
      <w:r>
        <w:rPr>
          <w:rFonts w:hint="eastAsia" w:ascii="仿宋_GB2312" w:hAnsi="ˎ̥" w:eastAsia="仿宋_GB2312"/>
          <w:sz w:val="32"/>
          <w:szCs w:val="32"/>
        </w:rPr>
        <w:t>上述各项收入数可取自财决公开02表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本年支出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万元，其中：基本支出</w:t>
      </w:r>
      <w:r>
        <w:rPr>
          <w:rFonts w:hint="default" w:ascii="仿宋_GB2312" w:hAnsi="ˎ̥" w:eastAsia="仿宋_GB2312"/>
          <w:color w:val="FF0000"/>
          <w:sz w:val="32"/>
          <w:szCs w:val="32"/>
          <w:lang w:val="en-US"/>
        </w:rPr>
        <w:t>223.62</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12.42</w:t>
      </w:r>
      <w:r>
        <w:rPr>
          <w:rFonts w:hint="eastAsia" w:ascii="仿宋_GB2312" w:hAnsi="ˎ̥" w:eastAsia="仿宋_GB2312"/>
          <w:sz w:val="32"/>
          <w:szCs w:val="32"/>
        </w:rPr>
        <w:t>%；项目支出</w:t>
      </w:r>
      <w:r>
        <w:rPr>
          <w:rFonts w:hint="default" w:ascii="仿宋_GB2312" w:hAnsi="ˎ̥" w:eastAsia="仿宋_GB2312"/>
          <w:color w:val="FF0000"/>
          <w:sz w:val="32"/>
          <w:szCs w:val="32"/>
          <w:lang w:val="en-US"/>
        </w:rPr>
        <w:t>1,657.31</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88.11</w:t>
      </w:r>
      <w:r>
        <w:rPr>
          <w:rFonts w:hint="eastAsia" w:ascii="仿宋_GB2312" w:hAnsi="ˎ̥" w:eastAsia="仿宋_GB2312"/>
          <w:sz w:val="32"/>
          <w:szCs w:val="32"/>
        </w:rPr>
        <w:t>%；上缴上级支出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%；经营支出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%；对附属单位补助支出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上述各项支出数可取自财决公开03表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年度财政拨款收入</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万元，支出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万元。与</w:t>
      </w:r>
      <w:r>
        <w:rPr>
          <w:rFonts w:hint="default" w:ascii="仿宋_GB2312" w:hAnsi="ˎ̥" w:eastAsia="仿宋_GB2312"/>
          <w:sz w:val="32"/>
          <w:szCs w:val="32"/>
          <w:lang w:val="en-US"/>
        </w:rPr>
        <w:t>2023</w:t>
      </w:r>
      <w:r>
        <w:rPr>
          <w:rFonts w:hint="eastAsia" w:ascii="仿宋_GB2312" w:hAnsi="ˎ̥" w:eastAsia="仿宋_GB2312"/>
          <w:sz w:val="32"/>
          <w:szCs w:val="32"/>
        </w:rPr>
        <w:t>年度相比，财政拨款收入增加</w:t>
      </w:r>
      <w:r>
        <w:rPr>
          <w:rFonts w:hint="eastAsia" w:ascii="仿宋_GB2312" w:hAnsi="ˎ̥" w:eastAsia="仿宋_GB2312"/>
          <w:sz w:val="32"/>
          <w:szCs w:val="32"/>
          <w:lang w:val="en-US" w:eastAsia="zh-CN"/>
        </w:rPr>
        <w:t>981.24</w:t>
      </w:r>
      <w:r>
        <w:rPr>
          <w:rFonts w:hint="eastAsia" w:ascii="仿宋_GB2312" w:hAnsi="ˎ̥" w:eastAsia="仿宋_GB2312"/>
          <w:sz w:val="32"/>
          <w:szCs w:val="32"/>
        </w:rPr>
        <w:t>万元，增长</w:t>
      </w:r>
      <w:r>
        <w:rPr>
          <w:rFonts w:hint="eastAsia" w:ascii="仿宋_GB2312" w:hAnsi="ˎ̥" w:eastAsia="仿宋_GB2312"/>
          <w:color w:val="FF0000"/>
          <w:sz w:val="32"/>
          <w:szCs w:val="32"/>
          <w:lang w:val="en-US" w:eastAsia="zh-CN"/>
        </w:rPr>
        <w:t>109.06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因机构改革，发改、统计、经信3家单位合并为1家单位，导致收入支出增长较明显。</w:t>
      </w:r>
      <w:r>
        <w:rPr>
          <w:rFonts w:hint="eastAsia" w:ascii="仿宋_GB2312" w:hAnsi="ˎ̥" w:eastAsia="仿宋_GB2312"/>
          <w:sz w:val="32"/>
          <w:szCs w:val="32"/>
        </w:rPr>
        <w:t>支出增加</w:t>
      </w:r>
      <w:r>
        <w:rPr>
          <w:rFonts w:hint="eastAsia" w:ascii="仿宋_GB2312" w:hAnsi="ˎ̥" w:eastAsia="仿宋_GB2312"/>
          <w:color w:val="FF0000"/>
          <w:sz w:val="32"/>
          <w:szCs w:val="32"/>
          <w:lang w:val="en-US" w:eastAsia="zh-CN"/>
        </w:rPr>
        <w:t>981.24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109.06</w:t>
      </w:r>
      <w:r>
        <w:rPr>
          <w:rFonts w:hint="eastAsia" w:ascii="仿宋_GB2312" w:hAnsi="ˎ̥" w:eastAsia="仿宋_GB2312"/>
          <w:sz w:val="32"/>
          <w:szCs w:val="32"/>
        </w:rPr>
        <w:t>%，主要原因：</w:t>
      </w:r>
      <w:r>
        <w:rPr>
          <w:rFonts w:hint="eastAsia" w:ascii="仿宋_GB2312" w:hAnsi="ˎ̥" w:eastAsia="仿宋_GB2312"/>
          <w:sz w:val="32"/>
          <w:szCs w:val="32"/>
          <w:lang w:val="en-US" w:eastAsia="zh-CN"/>
        </w:rPr>
        <w:t>因机构改革，发改、统计、经信3家单位合并为1家单位，导致收入支出增长较明显。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财政拨款年初结转结余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万元，主要是……（简要说明结转结余形成或来源），较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财政拨款年末结转结余</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万元，主要是……（简要说明结转结余的</w:t>
      </w:r>
      <w:r>
        <w:rPr>
          <w:rFonts w:ascii="仿宋_GB2312" w:hAnsi="ˎ̥" w:eastAsia="仿宋_GB2312"/>
          <w:sz w:val="32"/>
          <w:szCs w:val="32"/>
        </w:rPr>
        <w:t>构成</w:t>
      </w:r>
      <w:r>
        <w:rPr>
          <w:rFonts w:hint="eastAsia" w:ascii="仿宋_GB2312" w:hAnsi="ˎ̥" w:eastAsia="仿宋_GB2312"/>
          <w:sz w:val="32"/>
          <w:szCs w:val="32"/>
        </w:rPr>
        <w:t>），较</w:t>
      </w:r>
      <w:r>
        <w:rPr>
          <w:rFonts w:hint="default" w:ascii="仿宋_GB2312" w:hAnsi="ˎ̥" w:eastAsia="仿宋_GB2312"/>
          <w:sz w:val="32"/>
          <w:szCs w:val="32"/>
          <w:lang w:val="en-US"/>
        </w:rPr>
        <w:t>2023</w:t>
      </w:r>
      <w:r>
        <w:rPr>
          <w:rFonts w:hint="eastAsia" w:ascii="仿宋_GB2312" w:hAnsi="ˎ̥" w:eastAsia="仿宋_GB2312"/>
          <w:sz w:val="32"/>
          <w:szCs w:val="32"/>
        </w:rPr>
        <w:t>年度决算数增加（减少）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年度决算相关数据可取自财决公开04表。</w:t>
      </w:r>
      <w:r>
        <w:rPr>
          <w:rFonts w:hint="default" w:ascii="仿宋_GB2312" w:hAnsi="ˎ̥" w:eastAsia="仿宋_GB2312"/>
          <w:sz w:val="32"/>
          <w:szCs w:val="32"/>
          <w:lang w:val="en-US"/>
        </w:rPr>
        <w:t>2023</w:t>
      </w:r>
      <w:r>
        <w:rPr>
          <w:rFonts w:hint="eastAsia" w:ascii="仿宋_GB2312" w:hAnsi="ˎ̥" w:eastAsia="仿宋_GB2312"/>
          <w:sz w:val="32"/>
          <w:szCs w:val="32"/>
        </w:rPr>
        <w:t>年度决算相关数据可取自</w:t>
      </w:r>
      <w:r>
        <w:rPr>
          <w:rFonts w:hint="default" w:ascii="仿宋_GB2312" w:hAnsi="ˎ̥" w:eastAsia="仿宋_GB2312"/>
          <w:sz w:val="32"/>
          <w:szCs w:val="32"/>
          <w:lang w:val="en-US"/>
        </w:rPr>
        <w:t>2023</w:t>
      </w:r>
      <w:r>
        <w:rPr>
          <w:rFonts w:hint="eastAsia" w:ascii="仿宋_GB2312" w:hAnsi="ˎ̥" w:eastAsia="仿宋_GB2312"/>
          <w:sz w:val="32"/>
          <w:szCs w:val="32"/>
        </w:rPr>
        <w:t>年度部门决算报表财决01-1表《财政拨款收入支出决算总表》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79" w:name="_Toc9989_WPSOffice_Level2"/>
      <w:bookmarkStart w:id="80" w:name="_Toc21737_WPSOffice_Level2"/>
      <w:bookmarkStart w:id="81" w:name="_Toc13694_WPSOffice_Level2"/>
      <w:bookmarkStart w:id="82" w:name="_Toc17398_WPSOffice_Level2"/>
      <w:bookmarkStart w:id="83" w:name="_Toc23005_WPSOffice_Level2"/>
      <w:bookmarkStart w:id="84" w:name="_Toc19665_WPSOffice_Level2"/>
      <w:r>
        <w:rPr>
          <w:rFonts w:hint="eastAsia" w:ascii="楷体" w:hAnsi="楷体" w:eastAsia="楷体" w:cs="楷体"/>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年度相比，一般公共预算财政拨款支出增加</w:t>
      </w:r>
      <w:r>
        <w:rPr>
          <w:rFonts w:hint="eastAsia" w:ascii="仿宋_GB2312" w:hAnsi="ˎ̥" w:eastAsia="仿宋_GB2312"/>
          <w:sz w:val="32"/>
          <w:szCs w:val="32"/>
          <w:lang w:val="en-US" w:eastAsia="zh-CN"/>
        </w:rPr>
        <w:t>981.24</w:t>
      </w:r>
      <w:r>
        <w:rPr>
          <w:rFonts w:hint="eastAsia" w:ascii="仿宋_GB2312" w:hAnsi="ˎ̥" w:eastAsia="仿宋_GB2312"/>
          <w:sz w:val="32"/>
          <w:szCs w:val="32"/>
        </w:rPr>
        <w:t>万元，增长</w:t>
      </w:r>
      <w:r>
        <w:rPr>
          <w:rFonts w:hint="eastAsia" w:ascii="仿宋_GB2312" w:hAnsi="ˎ̥" w:eastAsia="仿宋_GB2312"/>
          <w:sz w:val="32"/>
          <w:szCs w:val="32"/>
          <w:lang w:val="en-US" w:eastAsia="zh-CN"/>
        </w:rPr>
        <w:t>109.06</w:t>
      </w:r>
      <w:r>
        <w:rPr>
          <w:rFonts w:hint="eastAsia" w:ascii="仿宋_GB2312" w:hAnsi="ˎ̥" w:eastAsia="仿宋_GB2312"/>
          <w:sz w:val="32"/>
          <w:szCs w:val="32"/>
        </w:rPr>
        <w:t>%，主要原因是</w:t>
      </w:r>
      <w:r>
        <w:rPr>
          <w:rFonts w:hint="eastAsia" w:ascii="仿宋_GB2312" w:hAnsi="ˎ̥" w:eastAsia="仿宋_GB2312"/>
          <w:sz w:val="32"/>
          <w:szCs w:val="32"/>
          <w:lang w:val="en-US" w:eastAsia="zh-CN"/>
        </w:rPr>
        <w:t>因机构改革，发改、统计、经信3家单位合并为1家单位，导致收入支出增长较明显。</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85" w:name="_Toc27767_WPSOffice_Level2"/>
      <w:bookmarkStart w:id="86" w:name="_Toc19535_WPSOffice_Level2"/>
      <w:bookmarkStart w:id="87" w:name="_Toc23864_WPSOffice_Level2"/>
      <w:bookmarkStart w:id="88" w:name="_Toc18793_WPSOffice_Level2"/>
      <w:bookmarkStart w:id="89" w:name="_Toc2711_WPSOffice_Level2"/>
      <w:bookmarkStart w:id="90" w:name="_Toc19075_WPSOffice_Level2"/>
      <w:r>
        <w:rPr>
          <w:rFonts w:hint="eastAsia" w:ascii="楷体" w:hAnsi="楷体" w:eastAsia="楷体" w:cs="楷体"/>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万元，主要用于以下方面：</w:t>
      </w:r>
      <w:r>
        <w:rPr>
          <w:rFonts w:hint="eastAsia" w:ascii="仿宋_GB2312" w:hAnsi="ˎ̥" w:eastAsia="仿宋_GB2312"/>
          <w:b/>
          <w:sz w:val="32"/>
          <w:szCs w:val="32"/>
        </w:rPr>
        <w:t>一般公共服务（类）</w:t>
      </w:r>
      <w:r>
        <w:rPr>
          <w:rFonts w:hint="eastAsia" w:ascii="仿宋_GB2312" w:hAnsi="ˎ̥" w:eastAsia="仿宋_GB2312"/>
          <w:sz w:val="32"/>
          <w:szCs w:val="32"/>
        </w:rPr>
        <w:t>支出</w:t>
      </w:r>
      <w:r>
        <w:rPr>
          <w:rFonts w:hint="eastAsia" w:ascii="仿宋_GB2312" w:hAnsi="ˎ̥" w:eastAsia="仿宋_GB2312"/>
          <w:sz w:val="32"/>
          <w:szCs w:val="32"/>
          <w:lang w:val="en-US" w:eastAsia="zh-CN"/>
        </w:rPr>
        <w:t>1071.23</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56.95</w:t>
      </w:r>
      <w:r>
        <w:rPr>
          <w:rFonts w:hint="eastAsia" w:ascii="仿宋_GB2312" w:hAnsi="ˎ̥" w:eastAsia="仿宋_GB2312"/>
          <w:sz w:val="32"/>
          <w:szCs w:val="32"/>
        </w:rPr>
        <w:t>%；</w:t>
      </w:r>
      <w:r>
        <w:rPr>
          <w:rFonts w:hint="eastAsia" w:ascii="仿宋_GB2312" w:hAnsi="ˎ̥" w:eastAsia="仿宋_GB2312"/>
          <w:b/>
          <w:sz w:val="32"/>
          <w:szCs w:val="32"/>
        </w:rPr>
        <w:t>社会保障和就业（类）</w:t>
      </w:r>
      <w:r>
        <w:rPr>
          <w:rFonts w:hint="eastAsia" w:ascii="仿宋_GB2312" w:hAnsi="ˎ̥" w:eastAsia="仿宋_GB2312"/>
          <w:sz w:val="32"/>
          <w:szCs w:val="32"/>
        </w:rPr>
        <w:t>支出</w:t>
      </w:r>
      <w:r>
        <w:rPr>
          <w:rFonts w:hint="eastAsia" w:ascii="仿宋_GB2312" w:hAnsi="ˎ̥" w:eastAsia="仿宋_GB2312"/>
          <w:b/>
          <w:sz w:val="32"/>
          <w:szCs w:val="32"/>
          <w:lang w:val="en-US" w:eastAsia="zh-CN"/>
        </w:rPr>
        <w:t>21.2</w:t>
      </w:r>
      <w:r>
        <w:rPr>
          <w:rFonts w:hint="eastAsia" w:ascii="仿宋_GB2312" w:hAnsi="ˎ̥" w:eastAsia="仿宋_GB2312"/>
          <w:sz w:val="32"/>
          <w:szCs w:val="32"/>
          <w:lang w:val="en-US" w:eastAsia="zh-CN"/>
        </w:rPr>
        <w:t>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1.13</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卫生健康</w:t>
      </w:r>
      <w:r>
        <w:rPr>
          <w:rFonts w:hint="eastAsia" w:ascii="仿宋_GB2312" w:hAnsi="ˎ̥" w:eastAsia="仿宋_GB2312"/>
          <w:sz w:val="32"/>
          <w:szCs w:val="32"/>
        </w:rPr>
        <w:t>支出</w:t>
      </w:r>
      <w:r>
        <w:rPr>
          <w:rFonts w:hint="eastAsia" w:ascii="仿宋_GB2312" w:hAnsi="ˎ̥" w:eastAsia="仿宋_GB2312"/>
          <w:sz w:val="32"/>
          <w:szCs w:val="32"/>
          <w:lang w:val="en-US" w:eastAsia="zh-CN"/>
        </w:rPr>
        <w:t>12.85万元，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0.68</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农林水</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588.03万元，</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31.26</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商业服务业等</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150万元，</w:t>
      </w:r>
      <w:r>
        <w:rPr>
          <w:rFonts w:hint="eastAsia" w:ascii="仿宋_GB2312" w:hAnsi="ˎ̥" w:eastAsia="仿宋_GB2312"/>
          <w:b/>
          <w:sz w:val="32"/>
          <w:szCs w:val="32"/>
        </w:rPr>
        <w:t xml:space="preserve"> </w:t>
      </w:r>
      <w:r>
        <w:rPr>
          <w:rFonts w:hint="eastAsia" w:ascii="仿宋_GB2312" w:hAnsi="ˎ̥" w:eastAsia="仿宋_GB2312"/>
          <w:sz w:val="32"/>
          <w:szCs w:val="32"/>
        </w:rPr>
        <w:t>占</w:t>
      </w:r>
      <w:r>
        <w:rPr>
          <w:rFonts w:hint="eastAsia" w:ascii="仿宋_GB2312" w:hAnsi="ˎ̥" w:eastAsia="仿宋_GB2312"/>
          <w:color w:val="FF0000"/>
          <w:sz w:val="32"/>
          <w:szCs w:val="32"/>
          <w:lang w:val="en-US" w:eastAsia="zh-CN"/>
        </w:rPr>
        <w:t>7.97</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b/>
          <w:sz w:val="32"/>
          <w:szCs w:val="32"/>
        </w:rPr>
        <w:t>住房保障</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17.04万元，</w:t>
      </w:r>
      <w:r>
        <w:rPr>
          <w:rFonts w:hint="eastAsia" w:ascii="仿宋_GB2312" w:hAnsi="ˎ̥" w:eastAsia="仿宋_GB2312"/>
          <w:b w:val="0"/>
          <w:bCs/>
          <w:sz w:val="32"/>
          <w:szCs w:val="32"/>
        </w:rPr>
        <w:t xml:space="preserve"> 占</w:t>
      </w:r>
      <w:r>
        <w:rPr>
          <w:rFonts w:hint="eastAsia" w:ascii="仿宋_GB2312" w:hAnsi="ˎ̥" w:eastAsia="仿宋_GB2312"/>
          <w:b w:val="0"/>
          <w:bCs/>
          <w:sz w:val="32"/>
          <w:szCs w:val="32"/>
          <w:lang w:val="en-US" w:eastAsia="zh-CN"/>
        </w:rPr>
        <w:t>0.91</w:t>
      </w:r>
      <w:r>
        <w:rPr>
          <w:rFonts w:hint="eastAsia" w:ascii="仿宋_GB2312" w:hAnsi="ˎ̥" w:eastAsia="仿宋_GB2312"/>
          <w:b w:val="0"/>
          <w:bCs/>
          <w:sz w:val="32"/>
          <w:szCs w:val="32"/>
        </w:rPr>
        <w:t>%</w:t>
      </w:r>
      <w:r>
        <w:rPr>
          <w:rFonts w:hint="eastAsia" w:ascii="仿宋_GB2312" w:hAnsi="ˎ̥" w:eastAsia="仿宋_GB2312"/>
          <w:b w:val="0"/>
          <w:bCs/>
          <w:sz w:val="32"/>
          <w:szCs w:val="32"/>
          <w:lang w:eastAsia="zh-CN"/>
        </w:rPr>
        <w:t>；</w:t>
      </w:r>
      <w:r>
        <w:rPr>
          <w:rFonts w:hint="eastAsia" w:ascii="仿宋_GB2312" w:hAnsi="ˎ̥" w:eastAsia="仿宋_GB2312"/>
          <w:b/>
          <w:sz w:val="32"/>
          <w:szCs w:val="32"/>
        </w:rPr>
        <w:t>粮油物资储备</w:t>
      </w:r>
      <w:r>
        <w:rPr>
          <w:rFonts w:hint="eastAsia" w:ascii="仿宋_GB2312" w:hAnsi="ˎ̥" w:eastAsia="仿宋_GB2312"/>
          <w:b w:val="0"/>
          <w:bCs/>
          <w:sz w:val="32"/>
          <w:szCs w:val="32"/>
        </w:rPr>
        <w:t>支出</w:t>
      </w:r>
      <w:r>
        <w:rPr>
          <w:rFonts w:hint="eastAsia" w:ascii="仿宋_GB2312" w:hAnsi="ˎ̥" w:eastAsia="仿宋_GB2312"/>
          <w:b w:val="0"/>
          <w:bCs/>
          <w:sz w:val="32"/>
          <w:szCs w:val="32"/>
          <w:lang w:val="en-US" w:eastAsia="zh-CN"/>
        </w:rPr>
        <w:t>20.57万元，</w:t>
      </w:r>
      <w:r>
        <w:rPr>
          <w:rFonts w:hint="eastAsia" w:ascii="仿宋_GB2312" w:hAnsi="ˎ̥" w:eastAsia="仿宋_GB2312"/>
          <w:b w:val="0"/>
          <w:bCs/>
          <w:sz w:val="32"/>
          <w:szCs w:val="32"/>
        </w:rPr>
        <w:t xml:space="preserve"> 占</w:t>
      </w:r>
      <w:r>
        <w:rPr>
          <w:rFonts w:hint="eastAsia" w:ascii="仿宋_GB2312" w:hAnsi="ˎ̥" w:eastAsia="仿宋_GB2312"/>
          <w:b w:val="0"/>
          <w:bCs/>
          <w:sz w:val="32"/>
          <w:szCs w:val="32"/>
          <w:lang w:val="en-US" w:eastAsia="zh-CN"/>
        </w:rPr>
        <w:t>1.09</w:t>
      </w:r>
      <w:r>
        <w:rPr>
          <w:rFonts w:hint="eastAsia" w:ascii="仿宋_GB2312" w:hAnsi="ˎ̥" w:eastAsia="仿宋_GB2312"/>
          <w:b w:val="0"/>
          <w:bCs/>
          <w:sz w:val="32"/>
          <w:szCs w:val="32"/>
        </w:rPr>
        <w:t>%</w:t>
      </w:r>
      <w:r>
        <w:rPr>
          <w:rFonts w:hint="eastAsia" w:ascii="仿宋_GB2312" w:hAnsi="ˎ̥"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bookmarkStart w:id="91" w:name="_Toc25136_WPSOffice_Level2"/>
      <w:bookmarkStart w:id="92" w:name="_Toc15415_WPSOffice_Level2"/>
      <w:bookmarkStart w:id="93" w:name="_Toc22318_WPSOffice_Level2"/>
      <w:bookmarkStart w:id="94" w:name="_Toc29364_WPSOffice_Level2"/>
      <w:bookmarkStart w:id="95" w:name="_Toc21701_WPSOffice_Level2"/>
      <w:bookmarkStart w:id="96" w:name="_Toc9502_WPSOffice_Level2"/>
      <w:r>
        <w:rPr>
          <w:rFonts w:hint="eastAsia" w:ascii="楷体" w:hAnsi="楷体" w:eastAsia="楷体" w:cs="楷体"/>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年度一般公共预算财政拨款支出年初预算为</w:t>
      </w:r>
      <w:r>
        <w:rPr>
          <w:rFonts w:hint="eastAsia" w:ascii="仿宋_GB2312" w:hAnsi="ˎ̥" w:eastAsia="仿宋_GB2312"/>
          <w:color w:val="FF0000"/>
          <w:sz w:val="32"/>
          <w:szCs w:val="32"/>
          <w:lang w:val="en-US" w:eastAsia="zh-CN"/>
        </w:rPr>
        <w:t>490.93</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1,880.93</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383.14</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年度财政拨款基本支出</w:t>
      </w:r>
      <w:r>
        <w:rPr>
          <w:rFonts w:hint="eastAsia" w:ascii="仿宋_GB2312" w:hAnsi="ˎ̥" w:eastAsia="仿宋_GB2312"/>
          <w:color w:val="FF0000"/>
          <w:sz w:val="32"/>
          <w:szCs w:val="32"/>
          <w:lang w:val="en-US"/>
        </w:rPr>
        <w:t>223.62</w:t>
      </w:r>
      <w:r>
        <w:rPr>
          <w:rFonts w:hint="eastAsia" w:ascii="仿宋_GB2312" w:hAnsi="ˎ̥" w:eastAsia="仿宋_GB2312"/>
          <w:sz w:val="32"/>
          <w:szCs w:val="32"/>
        </w:rPr>
        <w:t>万元，其中：人员经费</w:t>
      </w:r>
      <w:r>
        <w:rPr>
          <w:rFonts w:ascii="仿宋_GB2312" w:hAnsi="ˎ̥" w:eastAsia="仿宋_GB2312"/>
          <w:color w:val="FF0000"/>
          <w:sz w:val="32"/>
          <w:szCs w:val="32"/>
          <w:lang w:val="en-US"/>
        </w:rPr>
        <w:t>208.43</w:t>
      </w:r>
      <w:r>
        <w:rPr>
          <w:rFonts w:hint="eastAsia" w:ascii="仿宋_GB2312" w:hAnsi="ˎ̥" w:eastAsia="仿宋_GB2312"/>
          <w:sz w:val="32"/>
          <w:szCs w:val="32"/>
        </w:rPr>
        <w:t>万元，主要包括：工资福利支出中的基本工资、津贴补贴、奖金、伙食补助费、绩效工资、机关事业单位基本养老保险缴费、职业年金缴费、职工基本医疗保险缴费、公务员医疗补助缴费、其他社会保障缴费、住房公积金、医疗费、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FF0000"/>
          <w:sz w:val="32"/>
          <w:szCs w:val="32"/>
          <w:lang w:val="en-US"/>
        </w:rPr>
        <w:t>15.19</w:t>
      </w:r>
      <w:r>
        <w:rPr>
          <w:rFonts w:hint="eastAsia" w:ascii="仿宋_GB2312" w:hAnsi="ˎ̥" w:eastAsia="仿宋_GB2312"/>
          <w:sz w:val="32"/>
          <w:szCs w:val="32"/>
        </w:rPr>
        <w:t>万元，主要包括：商品和服务支出中的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sz w:val="32"/>
          <w:szCs w:val="32"/>
          <w:lang w:val="en-US" w:eastAsia="zh-CN"/>
        </w:rPr>
        <w:t>购</w:t>
      </w:r>
      <w:r>
        <w:rPr>
          <w:rFonts w:hint="eastAsia" w:ascii="仿宋_GB2312" w:hAnsi="ˎ̥" w:eastAsia="仿宋_GB2312"/>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w:t>
      </w:r>
      <w:r>
        <w:rPr>
          <w:rFonts w:hint="eastAsia" w:ascii="仿宋_GB2312" w:hAnsi="ˎ̥" w:eastAsia="仿宋_GB2312"/>
          <w:sz w:val="32"/>
          <w:szCs w:val="32"/>
          <w:lang w:val="en-US" w:eastAsia="zh-CN"/>
        </w:rPr>
        <w:t>数据</w:t>
      </w:r>
      <w:r>
        <w:rPr>
          <w:rFonts w:hint="eastAsia" w:ascii="仿宋_GB2312" w:hAnsi="ˎ̥" w:eastAsia="仿宋_GB2312"/>
          <w:sz w:val="32"/>
          <w:szCs w:val="32"/>
        </w:rPr>
        <w:t>可取自财决公开06表，各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单位根据实际支出情况，选列相应支出经济分类。）</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lang w:eastAsia="zh-CN"/>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年度相比，政府性基金预算财政拨款支出增加（减少）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年度政府性基金预算财政拨款支出年初预算为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w:t>
      </w:r>
      <w:r>
        <w:rPr>
          <w:rFonts w:hint="eastAsia" w:ascii="仿宋_GB2312" w:hAnsi="ˎ̥" w:eastAsia="仿宋_GB2312"/>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决算相关数据取自财决公开07表；</w:t>
      </w:r>
      <w:r>
        <w:rPr>
          <w:rFonts w:hint="default" w:ascii="仿宋_GB2312" w:hAnsi="ˎ̥" w:eastAsia="仿宋_GB2312"/>
          <w:sz w:val="32"/>
          <w:szCs w:val="32"/>
          <w:lang w:val="en-US"/>
        </w:rPr>
        <w:t>2023</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w:t>
      </w:r>
      <w:r>
        <w:rPr>
          <w:rFonts w:hint="default" w:ascii="仿宋_GB2312" w:hAnsi="ˎ̥" w:eastAsia="仿宋_GB2312"/>
          <w:sz w:val="32"/>
          <w:szCs w:val="32"/>
          <w:lang w:val="en-US"/>
        </w:rPr>
        <w:t>2023</w:t>
      </w:r>
      <w:r>
        <w:rPr>
          <w:rFonts w:hint="eastAsia" w:ascii="仿宋_GB2312" w:hAnsi="ˎ̥" w:eastAsia="仿宋_GB2312"/>
          <w:sz w:val="32"/>
          <w:szCs w:val="32"/>
          <w:lang w:val="en-US" w:eastAsia="zh-CN"/>
        </w:rPr>
        <w:t>年度部门决算报表</w:t>
      </w:r>
      <w:r>
        <w:rPr>
          <w:rFonts w:hint="eastAsia" w:ascii="仿宋_GB2312" w:hAnsi="ˎ̥" w:eastAsia="仿宋_GB2312"/>
          <w:sz w:val="32"/>
          <w:szCs w:val="32"/>
        </w:rPr>
        <w:t>财决09表《政府性基金预算财政拨款收入支出决算表》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元，占本年支出合计的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年度相比，国有资本经营预算财政拨款支出增加（减少）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万元，增长（下降）</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%，主要原因是……。</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万元，主要用于以下方面：</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单位实际支出涉及的支出功能分类类级科目填列</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年度国有资本经营预算财政拨款支出年初预算为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sz w:val="32"/>
          <w:szCs w:val="32"/>
        </w:rPr>
      </w:pPr>
      <w:r>
        <w:rPr>
          <w:rFonts w:hint="eastAsia" w:ascii="仿宋_GB2312" w:hAnsi="ˎ̥" w:eastAsia="仿宋_GB2312"/>
          <w:sz w:val="32"/>
          <w:szCs w:val="32"/>
        </w:rPr>
        <w:t>1.</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（类）</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（款）</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（项）。</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rPr>
      </w:pPr>
      <w:r>
        <w:rPr>
          <w:rFonts w:hint="eastAsia" w:ascii="仿宋_GB2312" w:hAnsi="ˎ̥" w:eastAsia="仿宋_GB2312"/>
          <w:sz w:val="32"/>
          <w:szCs w:val="32"/>
        </w:rPr>
        <w:t>年初预算为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万元，支出决算为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万元，完成年初预算的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根据各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单位实际支出涉及的支出功能分类项级科目填列，本部分</w:t>
      </w:r>
      <w:r>
        <w:rPr>
          <w:rFonts w:hint="default" w:ascii="仿宋_GB2312" w:hAnsi="ˎ̥" w:eastAsia="仿宋_GB2312"/>
          <w:sz w:val="32"/>
          <w:szCs w:val="32"/>
          <w:lang w:val="en-US"/>
        </w:rPr>
        <w:t>2024</w:t>
      </w:r>
      <w:r>
        <w:rPr>
          <w:rFonts w:hint="eastAsia" w:ascii="仿宋_GB2312" w:hAnsi="ˎ̥" w:eastAsia="仿宋_GB2312"/>
          <w:sz w:val="32"/>
          <w:szCs w:val="32"/>
        </w:rPr>
        <w:t>年</w:t>
      </w:r>
      <w:r>
        <w:rPr>
          <w:rFonts w:hint="eastAsia" w:ascii="仿宋_GB2312" w:hAnsi="ˎ̥" w:eastAsia="仿宋_GB2312"/>
          <w:sz w:val="32"/>
          <w:szCs w:val="32"/>
          <w:lang w:val="en-US" w:eastAsia="zh-CN"/>
        </w:rPr>
        <w:t>度</w:t>
      </w:r>
      <w:r>
        <w:rPr>
          <w:rFonts w:hint="eastAsia" w:ascii="仿宋_GB2312" w:hAnsi="ˎ̥" w:eastAsia="仿宋_GB2312"/>
          <w:sz w:val="32"/>
          <w:szCs w:val="32"/>
        </w:rPr>
        <w:t>决算相关数据取自财决公开08表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sz w:val="32"/>
          <w:szCs w:val="32"/>
        </w:rPr>
      </w:pPr>
      <w:r>
        <w:rPr>
          <w:rFonts w:hint="eastAsia" w:ascii="黑体" w:hAnsi="黑体" w:eastAsia="黑体" w:cs="黑体"/>
          <w:bCs/>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sz w:val="32"/>
          <w:szCs w:val="32"/>
        </w:rPr>
        <w:t xml:space="preserve">    </w:t>
      </w: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年度财政拨款“三公”经费支出预算为</w:t>
      </w:r>
      <w:r>
        <w:rPr>
          <w:rFonts w:hint="default" w:ascii="仿宋_GB2312" w:hAnsi="ˎ̥" w:eastAsia="仿宋_GB2312"/>
          <w:color w:val="FF0000"/>
          <w:sz w:val="32"/>
          <w:szCs w:val="32"/>
          <w:lang w:val="en-US"/>
        </w:rPr>
        <w:t>1.64</w:t>
      </w:r>
      <w:r>
        <w:rPr>
          <w:rFonts w:hint="eastAsia" w:ascii="仿宋_GB2312" w:hAnsi="ˎ̥" w:eastAsia="仿宋_GB2312"/>
          <w:sz w:val="32"/>
          <w:szCs w:val="32"/>
        </w:rPr>
        <w:t>万元，支出决算为</w:t>
      </w:r>
      <w:r>
        <w:rPr>
          <w:rFonts w:hint="default" w:ascii="仿宋_GB2312" w:hAnsi="ˎ̥" w:eastAsia="仿宋_GB2312"/>
          <w:color w:val="FF0000"/>
          <w:sz w:val="32"/>
          <w:szCs w:val="32"/>
          <w:lang w:val="en-US"/>
        </w:rPr>
        <w:t>1.64</w:t>
      </w:r>
      <w:r>
        <w:rPr>
          <w:rFonts w:hint="eastAsia" w:ascii="仿宋_GB2312" w:hAnsi="ˎ̥" w:eastAsia="仿宋_GB2312"/>
          <w:sz w:val="32"/>
          <w:szCs w:val="32"/>
        </w:rPr>
        <w:t>万元，完成预算的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“三公”经费支出减少</w:t>
      </w:r>
      <w:r>
        <w:rPr>
          <w:rFonts w:ascii="仿宋_GB2312" w:hAnsi="ˎ̥" w:eastAsia="仿宋_GB2312"/>
          <w:sz w:val="32"/>
          <w:szCs w:val="32"/>
        </w:rPr>
        <w:t>）</w:t>
      </w:r>
      <w:r>
        <w:rPr>
          <w:rFonts w:hint="eastAsia" w:ascii="仿宋_GB2312" w:hAnsi="ˎ̥" w:eastAsia="仿宋_GB2312"/>
          <w:color w:val="FF0000"/>
          <w:sz w:val="32"/>
          <w:szCs w:val="32"/>
          <w:lang w:val="en-US" w:eastAsia="zh-CN"/>
        </w:rPr>
        <w:t>0.51</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sz w:val="32"/>
          <w:szCs w:val="32"/>
          <w:lang w:val="en-US" w:eastAsia="zh-CN"/>
        </w:rPr>
        <w:t>23.72</w:t>
      </w:r>
      <w:r>
        <w:rPr>
          <w:rFonts w:hint="eastAsia" w:ascii="仿宋_GB2312" w:hAnsi="ˎ̥" w:eastAsia="仿宋_GB2312"/>
          <w:sz w:val="32"/>
          <w:szCs w:val="32"/>
        </w:rPr>
        <w:t>%，</w:t>
      </w:r>
      <w:r>
        <w:rPr>
          <w:rFonts w:hint="eastAsia" w:ascii="仿宋_GB2312" w:hAnsi="ˎ̥" w:eastAsia="仿宋_GB2312"/>
          <w:sz w:val="32"/>
          <w:szCs w:val="32"/>
          <w:lang w:val="en-US" w:eastAsia="zh-CN"/>
        </w:rPr>
        <w:t>主要原因：2024年度单位合并后</w:t>
      </w:r>
      <w:r>
        <w:rPr>
          <w:rFonts w:hint="eastAsia" w:ascii="仿宋_GB2312" w:hAnsi="ˎ̥" w:eastAsia="仿宋_GB2312"/>
          <w:sz w:val="32"/>
          <w:szCs w:val="32"/>
        </w:rPr>
        <w:t>公务用车购置及运行维护费</w:t>
      </w:r>
      <w:r>
        <w:rPr>
          <w:rFonts w:hint="eastAsia" w:ascii="仿宋_GB2312" w:hAnsi="ˎ̥" w:eastAsia="仿宋_GB2312"/>
          <w:sz w:val="32"/>
          <w:szCs w:val="32"/>
          <w:lang w:val="en-US" w:eastAsia="zh-CN"/>
        </w:rPr>
        <w:t>三家单位统筹支出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sz w:val="32"/>
          <w:szCs w:val="32"/>
        </w:rPr>
      </w:pPr>
      <w:r>
        <w:rPr>
          <w:rFonts w:hint="eastAsia" w:ascii="楷体" w:hAnsi="楷体" w:eastAsia="楷体" w:cs="楷体"/>
          <w:b/>
          <w:bCs/>
          <w:sz w:val="32"/>
          <w:szCs w:val="32"/>
        </w:rPr>
        <w:t xml:space="preserve">   </w:t>
      </w:r>
      <w:r>
        <w:rPr>
          <w:rFonts w:hint="eastAsia" w:ascii="楷体" w:hAnsi="楷体" w:eastAsia="楷体" w:cs="楷体"/>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年度财政拨款“三公”经费支出决算中，因公出国（境）费支出决算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%；公务用车购置及运行维护费支出决算</w:t>
      </w:r>
      <w:r>
        <w:rPr>
          <w:rFonts w:hint="default" w:ascii="仿宋_GB2312" w:hAnsi="ˎ̥" w:eastAsia="仿宋_GB2312"/>
          <w:color w:val="FF0000"/>
          <w:sz w:val="32"/>
          <w:szCs w:val="32"/>
          <w:lang w:val="en-US"/>
        </w:rPr>
        <w:t>1.64</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%；公务接待费支出决算</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万元，占</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lang w:val="en-US" w:eastAsia="zh-CN"/>
        </w:rPr>
      </w:pPr>
      <w:r>
        <w:rPr>
          <w:rFonts w:hint="eastAsia" w:ascii="仿宋_GB2312" w:hAnsi="ˎ̥" w:eastAsia="仿宋_GB2312"/>
          <w:b/>
          <w:sz w:val="32"/>
          <w:szCs w:val="32"/>
        </w:rPr>
        <w:t>1.因公出国（境）费</w:t>
      </w:r>
      <w:r>
        <w:rPr>
          <w:rFonts w:hint="eastAsia" w:ascii="仿宋_GB2312" w:hAnsi="ˎ̥" w:eastAsia="仿宋_GB2312"/>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万元。全年安排因公出国（境）团组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个，因公出国（境）</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因公出国（境）费支出决算</w:t>
      </w:r>
      <w:r>
        <w:rPr>
          <w:rFonts w:hint="eastAsia" w:ascii="仿宋_GB2312" w:hAnsi="ˎ̥" w:eastAsia="仿宋_GB2312"/>
          <w:sz w:val="32"/>
          <w:szCs w:val="32"/>
          <w:lang w:val="en-US" w:eastAsia="zh-CN"/>
        </w:rPr>
        <w:t>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default"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sz w:val="32"/>
          <w:szCs w:val="32"/>
        </w:rPr>
        <w:t>因公出国（境）费支出增加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2.公务用车购置及运行维护费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1.64</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公务用车购置</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万元，全年购置公务用车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辆，主要用于</w:t>
      </w:r>
      <w:r>
        <w:rPr>
          <w:rFonts w:hint="eastAsia" w:ascii="仿宋_GB2312" w:hAnsi="ˎ̥" w:eastAsia="仿宋_GB2312"/>
          <w:sz w:val="32"/>
          <w:szCs w:val="32"/>
          <w:lang w:val="en-US" w:eastAsia="zh-CN"/>
        </w:rPr>
        <w:t>车辆油料费</w:t>
      </w:r>
      <w:r>
        <w:rPr>
          <w:rFonts w:hint="eastAsia" w:ascii="仿宋_GB2312" w:hAnsi="ˎ̥" w:eastAsia="仿宋_GB2312"/>
          <w:sz w:val="32"/>
          <w:szCs w:val="32"/>
        </w:rPr>
        <w:t>，年末公务用车保有量</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公务用车运行维护费</w:t>
      </w:r>
      <w:r>
        <w:rPr>
          <w:rFonts w:hint="eastAsia" w:ascii="仿宋_GB2312" w:hAnsi="ˎ̥" w:eastAsia="仿宋_GB2312"/>
          <w:sz w:val="32"/>
          <w:szCs w:val="32"/>
        </w:rPr>
        <w:t>支出</w:t>
      </w:r>
      <w:r>
        <w:rPr>
          <w:rFonts w:hint="default" w:ascii="仿宋_GB2312" w:hAnsi="ˎ̥" w:eastAsia="仿宋_GB2312"/>
          <w:color w:val="FF0000"/>
          <w:sz w:val="32"/>
          <w:szCs w:val="32"/>
          <w:lang w:val="en-US"/>
        </w:rPr>
        <w:t>1.64</w:t>
      </w:r>
      <w:r>
        <w:rPr>
          <w:rFonts w:hint="eastAsia" w:ascii="仿宋_GB2312" w:hAnsi="ˎ̥" w:eastAsia="仿宋_GB2312"/>
          <w:sz w:val="32"/>
          <w:szCs w:val="32"/>
        </w:rPr>
        <w:t>万元，</w:t>
      </w:r>
      <w:r>
        <w:rPr>
          <w:rFonts w:hint="eastAsia" w:ascii="仿宋_GB2312" w:hAnsi="ˎ̥" w:eastAsia="仿宋_GB2312"/>
          <w:sz w:val="32"/>
          <w:szCs w:val="32"/>
          <w:lang w:val="en-US" w:eastAsia="zh-CN"/>
        </w:rPr>
        <w:t>车辆油料费</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Cs/>
          <w:sz w:val="32"/>
          <w:szCs w:val="32"/>
        </w:rPr>
        <w:t>公务用车购置及运行维护费支出决算数</w:t>
      </w:r>
      <w:r>
        <w:rPr>
          <w:rFonts w:hint="eastAsia" w:ascii="仿宋_GB2312" w:hAnsi="ˎ̥" w:eastAsia="仿宋_GB2312"/>
          <w:sz w:val="32"/>
          <w:szCs w:val="32"/>
        </w:rPr>
        <w:t>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100</w:t>
      </w:r>
      <w:r>
        <w:rPr>
          <w:rFonts w:hint="eastAsia" w:ascii="仿宋_GB2312" w:hAnsi="ˎ̥" w:eastAsia="仿宋_GB2312"/>
          <w:sz w:val="32"/>
          <w:szCs w:val="32"/>
        </w:rPr>
        <w:t>%</w:t>
      </w:r>
      <w:r>
        <w:rPr>
          <w:rFonts w:hint="eastAsia" w:ascii="仿宋_GB2312" w:hAnsi="ˎ̥" w:eastAsia="仿宋_GB2312"/>
          <w:sz w:val="32"/>
          <w:szCs w:val="32"/>
          <w:lang w:val="en-US" w:eastAsia="zh-CN"/>
        </w:rPr>
        <w:t>。</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公务用车购置及运行维护费</w:t>
      </w:r>
      <w:r>
        <w:rPr>
          <w:rFonts w:hint="eastAsia" w:ascii="仿宋_GB2312" w:hAnsi="ˎ̥" w:eastAsia="仿宋_GB2312"/>
          <w:sz w:val="32"/>
          <w:szCs w:val="32"/>
        </w:rPr>
        <w:t>支出减少</w:t>
      </w:r>
      <w:r>
        <w:rPr>
          <w:rFonts w:hint="eastAsia" w:ascii="仿宋_GB2312" w:hAnsi="ˎ̥" w:eastAsia="仿宋_GB2312"/>
          <w:sz w:val="32"/>
          <w:szCs w:val="32"/>
          <w:lang w:val="en-US" w:eastAsia="zh-CN"/>
        </w:rPr>
        <w:t>0.51</w:t>
      </w:r>
      <w:r>
        <w:rPr>
          <w:rFonts w:hint="eastAsia" w:ascii="仿宋_GB2312" w:hAnsi="ˎ̥" w:eastAsia="仿宋_GB2312"/>
          <w:sz w:val="32"/>
          <w:szCs w:val="32"/>
        </w:rPr>
        <w:t>万元</w:t>
      </w:r>
      <w:r>
        <w:rPr>
          <w:rFonts w:ascii="仿宋_GB2312" w:hAnsi="ˎ̥" w:eastAsia="仿宋_GB2312"/>
          <w:sz w:val="32"/>
          <w:szCs w:val="32"/>
        </w:rPr>
        <w:t>，</w:t>
      </w:r>
      <w:r>
        <w:rPr>
          <w:rFonts w:hint="eastAsia" w:ascii="仿宋_GB2312" w:hAnsi="ˎ̥" w:eastAsia="仿宋_GB2312"/>
          <w:sz w:val="32"/>
          <w:szCs w:val="32"/>
        </w:rPr>
        <w:t>下降</w:t>
      </w:r>
      <w:r>
        <w:rPr>
          <w:rFonts w:hint="eastAsia" w:ascii="仿宋_GB2312" w:hAnsi="ˎ̥" w:eastAsia="仿宋_GB2312"/>
          <w:sz w:val="32"/>
          <w:szCs w:val="32"/>
          <w:lang w:val="en-US" w:eastAsia="zh-CN"/>
        </w:rPr>
        <w:t>23.72</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主要原因：2024年度单位合并后</w:t>
      </w:r>
      <w:r>
        <w:rPr>
          <w:rFonts w:hint="eastAsia" w:ascii="仿宋_GB2312" w:hAnsi="ˎ̥" w:eastAsia="仿宋_GB2312"/>
          <w:sz w:val="32"/>
          <w:szCs w:val="32"/>
        </w:rPr>
        <w:t>公务用车购置及运行维护费</w:t>
      </w:r>
      <w:r>
        <w:rPr>
          <w:rFonts w:hint="eastAsia" w:ascii="仿宋_GB2312" w:hAnsi="ˎ̥" w:eastAsia="仿宋_GB2312"/>
          <w:sz w:val="32"/>
          <w:szCs w:val="32"/>
          <w:lang w:val="en-US" w:eastAsia="zh-CN"/>
        </w:rPr>
        <w:t>三家单位统筹支出</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sz w:val="32"/>
          <w:szCs w:val="32"/>
        </w:rPr>
      </w:pPr>
      <w:r>
        <w:rPr>
          <w:rFonts w:hint="eastAsia" w:ascii="仿宋_GB2312" w:hAnsi="ˎ̥" w:eastAsia="仿宋_GB2312"/>
          <w:b/>
          <w:sz w:val="32"/>
          <w:szCs w:val="32"/>
        </w:rPr>
        <w:t xml:space="preserve">    3.公务接待费</w:t>
      </w:r>
      <w:r>
        <w:rPr>
          <w:rFonts w:hint="eastAsia" w:ascii="仿宋_GB2312" w:hAnsi="ˎ̥" w:eastAsia="仿宋_GB2312"/>
          <w:b w:val="0"/>
          <w:bCs/>
          <w:sz w:val="32"/>
          <w:szCs w:val="32"/>
        </w:rPr>
        <w:t>支出</w:t>
      </w:r>
      <w:r>
        <w:rPr>
          <w:rFonts w:hint="default" w:ascii="仿宋_GB2312" w:hAnsi="ˎ̥" w:eastAsia="仿宋_GB2312"/>
          <w:color w:val="FF0000"/>
          <w:sz w:val="32"/>
          <w:szCs w:val="32"/>
          <w:lang w:val="en-US"/>
        </w:rPr>
        <w:t>0.00</w:t>
      </w:r>
      <w:r>
        <w:rPr>
          <w:rFonts w:hint="eastAsia" w:ascii="仿宋_GB2312" w:hAnsi="ˎ̥" w:eastAsia="仿宋_GB2312"/>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sz w:val="32"/>
          <w:szCs w:val="32"/>
        </w:rPr>
        <w:t>国内接待费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万元，国内公务接待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sz w:val="32"/>
          <w:szCs w:val="32"/>
        </w:rPr>
      </w:pPr>
      <w:r>
        <w:rPr>
          <w:rFonts w:hint="eastAsia" w:ascii="仿宋_GB2312" w:hAnsi="ˎ̥" w:eastAsia="仿宋_GB2312"/>
          <w:b/>
          <w:bCs/>
          <w:sz w:val="32"/>
          <w:szCs w:val="32"/>
        </w:rPr>
        <w:t>国（境）外接待费</w:t>
      </w:r>
      <w:r>
        <w:rPr>
          <w:rFonts w:hint="eastAsia" w:ascii="仿宋_GB2312" w:hAnsi="ˎ̥" w:eastAsia="仿宋_GB2312"/>
          <w:sz w:val="32"/>
          <w:szCs w:val="32"/>
        </w:rPr>
        <w:t>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万元，国（境）外公务接待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批次，接待</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人次。</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公务接待费支出决算数比预算数增加（减少）</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%。与</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相比，</w:t>
      </w:r>
      <w:r>
        <w:rPr>
          <w:rFonts w:hint="eastAsia" w:ascii="仿宋_GB2312" w:hAnsi="ˎ̥" w:eastAsia="仿宋_GB2312"/>
          <w:bCs/>
          <w:sz w:val="32"/>
          <w:szCs w:val="32"/>
        </w:rPr>
        <w:t>公务接待费</w:t>
      </w:r>
      <w:r>
        <w:rPr>
          <w:rFonts w:hint="eastAsia" w:ascii="仿宋_GB2312" w:hAnsi="ˎ̥" w:eastAsia="仿宋_GB2312"/>
          <w:sz w:val="32"/>
          <w:szCs w:val="32"/>
        </w:rPr>
        <w:t>支出增加</w:t>
      </w:r>
      <w:r>
        <w:rPr>
          <w:rFonts w:ascii="仿宋_GB2312" w:hAnsi="ˎ̥" w:eastAsia="仿宋_GB2312"/>
          <w:sz w:val="32"/>
          <w:szCs w:val="32"/>
        </w:rPr>
        <w:t>（</w:t>
      </w:r>
      <w:r>
        <w:rPr>
          <w:rFonts w:hint="eastAsia" w:ascii="仿宋_GB2312" w:hAnsi="ˎ̥" w:eastAsia="仿宋_GB2312"/>
          <w:sz w:val="32"/>
          <w:szCs w:val="32"/>
        </w:rPr>
        <w:t>减少</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w:t>
      </w:r>
      <w:r>
        <w:rPr>
          <w:rFonts w:ascii="仿宋_GB2312" w:hAnsi="ˎ̥" w:eastAsia="仿宋_GB2312"/>
          <w:sz w:val="32"/>
          <w:szCs w:val="32"/>
        </w:rPr>
        <w:t>，增长（</w:t>
      </w:r>
      <w:r>
        <w:rPr>
          <w:rFonts w:hint="eastAsia" w:ascii="仿宋_GB2312" w:hAnsi="ˎ̥" w:eastAsia="仿宋_GB2312"/>
          <w:sz w:val="32"/>
          <w:szCs w:val="32"/>
        </w:rPr>
        <w:t>下降</w:t>
      </w:r>
      <w:r>
        <w:rPr>
          <w:rFonts w:ascii="仿宋_GB2312" w:hAnsi="ˎ̥" w:eastAsia="仿宋_GB2312"/>
          <w:sz w:val="32"/>
          <w:szCs w:val="32"/>
        </w:rPr>
        <w:t>）</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default" w:ascii="仿宋_GB2312" w:hAnsi="ˎ̥" w:eastAsia="仿宋_GB2312"/>
          <w:sz w:val="32"/>
          <w:szCs w:val="32"/>
          <w:lang w:val="en-US"/>
        </w:rPr>
        <w:t>2024</w:t>
      </w:r>
      <w:r>
        <w:rPr>
          <w:rFonts w:hint="eastAsia" w:ascii="仿宋_GB2312" w:hAnsi="ˎ̥" w:eastAsia="仿宋_GB2312"/>
          <w:sz w:val="32"/>
          <w:szCs w:val="32"/>
        </w:rPr>
        <w:t>年度“三公”经费预算数、决算数可取自财决公开09表，出国团组数、出国人次，公务用车购置数、公务用车保有量，接待团组数、接待人次可取自部门决算报表F03表《机构运行信息表》，</w:t>
      </w:r>
      <w:r>
        <w:rPr>
          <w:rFonts w:hint="default" w:ascii="仿宋_GB2312" w:hAnsi="ˎ̥" w:eastAsia="仿宋_GB2312"/>
          <w:sz w:val="32"/>
          <w:szCs w:val="32"/>
          <w:lang w:val="en-US"/>
        </w:rPr>
        <w:t>2023</w:t>
      </w:r>
      <w:r>
        <w:rPr>
          <w:rFonts w:hint="eastAsia" w:ascii="仿宋_GB2312" w:hAnsi="ˎ̥" w:eastAsia="仿宋_GB2312"/>
          <w:sz w:val="32"/>
          <w:szCs w:val="32"/>
        </w:rPr>
        <w:t>年度相关</w:t>
      </w:r>
      <w:r>
        <w:rPr>
          <w:rFonts w:ascii="仿宋_GB2312" w:hAnsi="ˎ̥" w:eastAsia="仿宋_GB2312"/>
          <w:sz w:val="32"/>
          <w:szCs w:val="32"/>
        </w:rPr>
        <w:t>数据</w:t>
      </w:r>
      <w:r>
        <w:rPr>
          <w:rFonts w:hint="eastAsia" w:ascii="仿宋_GB2312" w:hAnsi="ˎ̥" w:eastAsia="仿宋_GB2312"/>
          <w:sz w:val="32"/>
          <w:szCs w:val="32"/>
        </w:rPr>
        <w:t>可取自</w:t>
      </w:r>
      <w:r>
        <w:rPr>
          <w:rFonts w:hint="default" w:ascii="仿宋_GB2312" w:hAnsi="ˎ̥" w:eastAsia="仿宋_GB2312"/>
          <w:sz w:val="32"/>
          <w:szCs w:val="32"/>
          <w:lang w:val="en-US"/>
        </w:rPr>
        <w:t>2023</w:t>
      </w:r>
      <w:r>
        <w:rPr>
          <w:rFonts w:hint="eastAsia" w:ascii="仿宋_GB2312" w:hAnsi="ˎ̥" w:eastAsia="仿宋_GB2312"/>
          <w:sz w:val="32"/>
          <w:szCs w:val="32"/>
        </w:rPr>
        <w:t>年度</w:t>
      </w:r>
      <w:r>
        <w:rPr>
          <w:rFonts w:ascii="仿宋_GB2312" w:hAnsi="ˎ̥" w:eastAsia="仿宋_GB2312"/>
          <w:sz w:val="32"/>
          <w:szCs w:val="32"/>
        </w:rPr>
        <w:t>部门决算报表</w:t>
      </w:r>
      <w:r>
        <w:rPr>
          <w:rFonts w:hint="eastAsia" w:ascii="仿宋_GB2312" w:hAnsi="ˎ̥" w:eastAsia="仿宋_GB2312"/>
          <w:sz w:val="32"/>
          <w:szCs w:val="32"/>
        </w:rPr>
        <w:t>F03表《机构</w:t>
      </w:r>
      <w:r>
        <w:rPr>
          <w:rFonts w:ascii="仿宋_GB2312" w:hAnsi="ˎ̥" w:eastAsia="仿宋_GB2312"/>
          <w:sz w:val="32"/>
          <w:szCs w:val="32"/>
        </w:rPr>
        <w:t>运行信息表》</w:t>
      </w:r>
      <w:r>
        <w:rPr>
          <w:rFonts w:hint="eastAsia" w:ascii="仿宋_GB2312" w:hAnsi="ˎ̥" w:eastAsia="仿宋_GB2312"/>
          <w:sz w:val="32"/>
          <w:szCs w:val="32"/>
          <w:lang w:eastAsia="zh-CN"/>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r>
        <w:rPr>
          <w:rFonts w:hint="eastAsia" w:ascii="楷体" w:hAnsi="楷体" w:eastAsia="楷体" w:cs="楷体"/>
          <w:bCs/>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rPr>
        <w:t>根据财政预算绩效管理要求，可按照如下格式说明：根据预算管理要求，我部门（单位）</w:t>
      </w:r>
      <w:r>
        <w:rPr>
          <w:rFonts w:hint="default" w:ascii="仿宋_GB2312" w:eastAsia="仿宋_GB2312"/>
          <w:sz w:val="32"/>
          <w:szCs w:val="32"/>
          <w:lang w:val="en-US"/>
        </w:rPr>
        <w:t>2024</w:t>
      </w:r>
      <w:r>
        <w:rPr>
          <w:rFonts w:hint="eastAsia" w:ascii="仿宋_GB2312" w:eastAsia="仿宋_GB2312"/>
          <w:sz w:val="32"/>
          <w:szCs w:val="32"/>
        </w:rPr>
        <w:t>年度</w:t>
      </w:r>
      <w:r>
        <w:rPr>
          <w:rFonts w:hint="eastAsia" w:ascii="仿宋_GB2312" w:eastAsia="仿宋_GB2312"/>
          <w:sz w:val="32"/>
          <w:szCs w:val="32"/>
          <w:lang w:val="en-US" w:eastAsia="zh-CN"/>
        </w:rPr>
        <w:t>有21</w:t>
      </w:r>
      <w:r>
        <w:rPr>
          <w:rFonts w:hint="eastAsia" w:ascii="仿宋_GB2312" w:eastAsia="仿宋_GB2312"/>
          <w:sz w:val="32"/>
          <w:szCs w:val="32"/>
        </w:rPr>
        <w:t>项目</w:t>
      </w:r>
      <w:r>
        <w:rPr>
          <w:rFonts w:hint="default" w:ascii="仿宋_GB2312" w:eastAsia="仿宋_GB2312"/>
          <w:sz w:val="32"/>
          <w:szCs w:val="32"/>
          <w:lang w:val="en-US"/>
        </w:rPr>
        <w:t>,</w:t>
      </w:r>
      <w:r>
        <w:rPr>
          <w:rFonts w:hint="eastAsia" w:ascii="仿宋_GB2312" w:eastAsia="仿宋_GB2312"/>
          <w:sz w:val="32"/>
          <w:szCs w:val="32"/>
          <w:lang w:val="en-US" w:eastAsia="zh-CN"/>
        </w:rPr>
        <w:t>共涉及资金</w:t>
      </w:r>
      <w:r>
        <w:rPr>
          <w:rFonts w:hint="eastAsia" w:ascii="仿宋_GB2312" w:eastAsia="仿宋_GB2312"/>
          <w:color w:val="FF0000"/>
          <w:sz w:val="32"/>
          <w:szCs w:val="32"/>
          <w:lang w:val="en-US" w:eastAsia="zh-CN"/>
        </w:rPr>
        <w:t>1676.23</w:t>
      </w:r>
      <w:r>
        <w:rPr>
          <w:rFonts w:hint="eastAsia" w:ascii="仿宋_GB2312" w:eastAsia="仿宋_GB2312"/>
          <w:sz w:val="32"/>
          <w:szCs w:val="32"/>
          <w:lang w:val="en-US" w:eastAsia="zh-CN"/>
        </w:rPr>
        <w:t xml:space="preserve">万元，完成预算绩效事前评估及有预算目标量化细化工作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97" w:name="_Toc18325_WPSOffice_Level2"/>
      <w:bookmarkStart w:id="98" w:name="_Toc32639_WPSOffice_Level2"/>
      <w:bookmarkStart w:id="99" w:name="_Toc23598_WPSOffice_Level2"/>
      <w:bookmarkStart w:id="100" w:name="_Toc15565_WPSOffice_Level2"/>
      <w:bookmarkStart w:id="101" w:name="_Toc15262_WPSOffice_Level2"/>
      <w:bookmarkStart w:id="102" w:name="_Toc5978_WPSOffice_Level2"/>
      <w:r>
        <w:rPr>
          <w:rFonts w:hint="eastAsia" w:ascii="楷体" w:hAnsi="楷体" w:eastAsia="楷体" w:cs="楷体"/>
          <w:bCs/>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发展改革和经信商务局（统计局）</w:t>
      </w:r>
      <w:r>
        <w:rPr>
          <w:rFonts w:hint="eastAsia" w:ascii="仿宋_GB2312" w:hAnsi="ˎ̥" w:eastAsia="仿宋_GB2312"/>
          <w:sz w:val="32"/>
          <w:szCs w:val="32"/>
        </w:rPr>
        <w:t>部门（单位）机关运行经费</w:t>
      </w:r>
      <w:r>
        <w:rPr>
          <w:rFonts w:hint="eastAsia" w:ascii="仿宋_GB2312" w:hAnsi="ˎ̥" w:eastAsia="仿宋_GB2312"/>
          <w:color w:val="FF0000"/>
          <w:sz w:val="32"/>
          <w:szCs w:val="32"/>
          <w:lang w:val="en-US" w:eastAsia="zh-CN"/>
        </w:rPr>
        <w:t>15.18</w:t>
      </w:r>
      <w:r>
        <w:rPr>
          <w:rFonts w:hint="eastAsia" w:ascii="仿宋_GB2312" w:hAnsi="ˎ̥" w:eastAsia="仿宋_GB2312"/>
          <w:sz w:val="32"/>
          <w:szCs w:val="32"/>
        </w:rPr>
        <w:t>万元（为部门决算中行政单位和参公事业单位财政拨款基本支出中公用经费支出之和，事业单位没有机关运行经费支出），比年初预算增加</w:t>
      </w:r>
      <w:r>
        <w:rPr>
          <w:rFonts w:hint="eastAsia" w:ascii="仿宋_GB2312" w:hAnsi="ˎ̥" w:eastAsia="仿宋_GB2312"/>
          <w:sz w:val="32"/>
          <w:szCs w:val="32"/>
          <w:lang w:val="en-US" w:eastAsia="zh-CN"/>
        </w:rPr>
        <w:t>7.77</w:t>
      </w:r>
      <w:r>
        <w:rPr>
          <w:rFonts w:hint="eastAsia" w:ascii="仿宋_GB2312" w:hAnsi="ˎ̥" w:eastAsia="仿宋_GB2312"/>
          <w:sz w:val="32"/>
          <w:szCs w:val="32"/>
        </w:rPr>
        <w:t>万元，</w:t>
      </w:r>
      <w:r>
        <w:rPr>
          <w:rFonts w:hint="eastAsia" w:ascii="仿宋_GB2312" w:hAnsi="ˎ̥" w:eastAsia="仿宋_GB2312"/>
          <w:sz w:val="32"/>
          <w:szCs w:val="32"/>
          <w:lang w:val="en-US" w:eastAsia="zh-CN"/>
        </w:rPr>
        <w:t>完成预算的</w:t>
      </w:r>
      <w:r>
        <w:rPr>
          <w:rFonts w:hint="eastAsia" w:ascii="仿宋_GB2312" w:hAnsi="ˎ̥" w:eastAsia="仿宋_GB2312"/>
          <w:color w:val="FF0000"/>
          <w:sz w:val="32"/>
          <w:szCs w:val="32"/>
          <w:lang w:val="en-US" w:eastAsia="zh-CN"/>
        </w:rPr>
        <w:t>48.81</w:t>
      </w:r>
      <w:r>
        <w:rPr>
          <w:rFonts w:hint="eastAsia" w:ascii="仿宋_GB2312" w:hAnsi="ˎ̥" w:eastAsia="仿宋_GB2312"/>
          <w:sz w:val="32"/>
          <w:szCs w:val="32"/>
        </w:rPr>
        <w:t>%</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与2023年度相比，机关运行经费</w:t>
      </w:r>
      <w:r>
        <w:rPr>
          <w:rFonts w:hint="eastAsia" w:ascii="仿宋_GB2312" w:hAnsi="ˎ̥" w:eastAsia="仿宋_GB2312"/>
          <w:sz w:val="32"/>
          <w:szCs w:val="32"/>
        </w:rPr>
        <w:t>增加</w:t>
      </w:r>
      <w:r>
        <w:rPr>
          <w:rFonts w:hint="eastAsia" w:ascii="仿宋_GB2312" w:hAnsi="ˎ̥" w:eastAsia="仿宋_GB2312"/>
          <w:sz w:val="32"/>
          <w:szCs w:val="32"/>
          <w:lang w:val="en-US" w:eastAsia="zh-CN"/>
        </w:rPr>
        <w:t>6.59</w:t>
      </w:r>
      <w:r>
        <w:rPr>
          <w:rFonts w:hint="eastAsia" w:ascii="仿宋_GB2312" w:hAnsi="ˎ̥" w:eastAsia="仿宋_GB2312"/>
          <w:sz w:val="32"/>
          <w:szCs w:val="32"/>
        </w:rPr>
        <w:t>万元</w:t>
      </w:r>
      <w:r>
        <w:rPr>
          <w:rFonts w:hint="eastAsia" w:ascii="仿宋_GB2312" w:hAnsi="ˎ̥" w:eastAsia="仿宋_GB2312"/>
          <w:sz w:val="32"/>
          <w:szCs w:val="32"/>
          <w:lang w:eastAsia="zh-CN"/>
        </w:rPr>
        <w:t>，</w:t>
      </w:r>
      <w:r>
        <w:rPr>
          <w:rFonts w:hint="eastAsia" w:ascii="仿宋_GB2312" w:hAnsi="ˎ̥" w:eastAsia="仿宋_GB2312"/>
          <w:sz w:val="32"/>
          <w:szCs w:val="32"/>
          <w:lang w:val="en-US" w:eastAsia="zh-CN"/>
        </w:rPr>
        <w:t>增长（下降）</w:t>
      </w:r>
      <w:r>
        <w:rPr>
          <w:rFonts w:hint="eastAsia" w:ascii="仿宋_GB2312" w:hAnsi="ˎ̥" w:eastAsia="仿宋_GB2312"/>
          <w:color w:val="FF0000"/>
          <w:sz w:val="32"/>
          <w:szCs w:val="32"/>
          <w:lang w:val="en-US" w:eastAsia="zh-CN"/>
        </w:rPr>
        <w:t>76.72</w:t>
      </w:r>
      <w:r>
        <w:rPr>
          <w:rFonts w:hint="eastAsia" w:ascii="仿宋_GB2312" w:hAnsi="ˎ̥" w:eastAsia="仿宋_GB2312"/>
          <w:sz w:val="32"/>
          <w:szCs w:val="32"/>
          <w:lang w:val="en-US" w:eastAsia="zh-CN"/>
        </w:rPr>
        <w:t>%。</w:t>
      </w:r>
      <w:bookmarkStart w:id="121" w:name="_GoBack"/>
      <w:bookmarkEnd w:id="121"/>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机关运行经费预算数可取自部门决算报表财决01-1表《财政拨款收入支出决算总表》，年初预算数-一般公共预算财政拨款-公用经费，注意部门汇总公开决算时，因事业单位没有机关运行经费支出，故部门汇总的机关运行经费预算数应为部门所属的各行政单位或参公单位的汇总数；决算数可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年度部门决算报表F03表《机构运行信息表》“机关运行经费”栏。）</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3" w:name="_Toc30383_WPSOffice_Level2"/>
      <w:bookmarkStart w:id="104" w:name="_Toc23966_WPSOffice_Level2"/>
      <w:bookmarkStart w:id="105" w:name="_Toc25333_WPSOffice_Level2"/>
      <w:bookmarkStart w:id="106" w:name="_Toc32689_WPSOffice_Level2"/>
      <w:bookmarkStart w:id="107" w:name="_Toc3131_WPSOffice_Level2"/>
      <w:bookmarkStart w:id="108" w:name="_Toc13084_WPSOffice_Level2"/>
      <w:r>
        <w:rPr>
          <w:rFonts w:hint="eastAsia" w:ascii="楷体" w:hAnsi="楷体" w:eastAsia="楷体" w:cs="楷体"/>
          <w:bCs/>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sz w:val="32"/>
          <w:szCs w:val="32"/>
        </w:rPr>
      </w:pPr>
      <w:r>
        <w:rPr>
          <w:rFonts w:hint="default" w:ascii="仿宋_GB2312" w:hAnsi="ˎ̥" w:eastAsia="仿宋_GB2312"/>
          <w:sz w:val="32"/>
          <w:szCs w:val="32"/>
          <w:lang w:val="en-US"/>
        </w:rPr>
        <w:t>2024</w:t>
      </w:r>
      <w:r>
        <w:rPr>
          <w:rFonts w:hint="eastAsia" w:ascii="仿宋_GB2312" w:hAnsi="ˎ̥" w:eastAsia="仿宋_GB2312"/>
          <w:sz w:val="32"/>
          <w:szCs w:val="32"/>
        </w:rPr>
        <w:t>年度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部门（单位）政府采购支出总额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万元，其中：政府采购货物支出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万元、政府采购工程支出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万元、政府采购服务支出</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万元。授予中小企业合同金额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万元，占政府采购支出总额的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%，其中：授予小微企业合同金额</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万元，占</w:t>
      </w:r>
      <w:r>
        <w:rPr>
          <w:rFonts w:hint="eastAsia" w:ascii="仿宋_GB2312" w:hAnsi="仿宋_GB2312" w:eastAsia="仿宋_GB2312" w:cs="仿宋_GB2312"/>
          <w:kern w:val="0"/>
          <w:sz w:val="32"/>
          <w:szCs w:val="32"/>
          <w:lang w:bidi="ar"/>
        </w:rPr>
        <w:t>授予中小企业合同金额</w:t>
      </w:r>
      <w:r>
        <w:rPr>
          <w:rFonts w:hint="eastAsia" w:ascii="仿宋_GB2312" w:hAnsi="仿宋_GB2312" w:eastAsia="仿宋_GB2312" w:cs="仿宋_GB2312"/>
          <w:sz w:val="32"/>
          <w:szCs w:val="32"/>
        </w:rPr>
        <w:t>的</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上述政府采购支出相关</w:t>
      </w:r>
      <w:r>
        <w:rPr>
          <w:rFonts w:hint="eastAsia" w:ascii="仿宋_GB2312" w:hAnsi="ˎ̥" w:eastAsia="仿宋_GB2312"/>
          <w:sz w:val="32"/>
          <w:szCs w:val="32"/>
          <w:lang w:val="en-US" w:eastAsia="zh-CN"/>
        </w:rPr>
        <w:t>数据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年度部门决算报表F03表《机构运行信息表》，授予中小企业和小微企业合同金额由各部门查阅本部门相关资料填写。）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sz w:val="32"/>
          <w:szCs w:val="32"/>
        </w:rPr>
      </w:pPr>
      <w:bookmarkStart w:id="109" w:name="_Toc29584_WPSOffice_Level2"/>
      <w:bookmarkStart w:id="110" w:name="_Toc527_WPSOffice_Level2"/>
      <w:bookmarkStart w:id="111" w:name="_Toc6016_WPSOffice_Level2"/>
      <w:bookmarkStart w:id="112" w:name="_Toc10902_WPSOffice_Level2"/>
      <w:bookmarkStart w:id="113" w:name="_Toc15129_WPSOffice_Level2"/>
      <w:bookmarkStart w:id="114" w:name="_Toc19989_WPSOffice_Level2"/>
      <w:r>
        <w:rPr>
          <w:rFonts w:hint="eastAsia" w:ascii="楷体" w:hAnsi="楷体" w:eastAsia="楷体" w:cs="楷体"/>
          <w:bCs/>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bCs/>
          <w:sz w:val="32"/>
          <w:szCs w:val="32"/>
        </w:rPr>
        <w:t>截至</w:t>
      </w:r>
      <w:r>
        <w:rPr>
          <w:rFonts w:hint="default" w:ascii="仿宋_GB2312" w:hAnsi="ˎ̥" w:eastAsia="仿宋_GB2312"/>
          <w:bCs/>
          <w:sz w:val="32"/>
          <w:szCs w:val="32"/>
          <w:lang w:val="en-US"/>
        </w:rPr>
        <w:t>2024</w:t>
      </w:r>
      <w:r>
        <w:rPr>
          <w:rFonts w:hint="eastAsia" w:ascii="仿宋_GB2312" w:hAnsi="ˎ̥" w:eastAsia="仿宋_GB2312"/>
          <w:bCs/>
          <w:sz w:val="32"/>
          <w:szCs w:val="32"/>
        </w:rPr>
        <w:t>年12月31日，本部门拥有</w:t>
      </w:r>
      <w:r>
        <w:rPr>
          <w:rFonts w:hint="eastAsia" w:ascii="仿宋_GB2312" w:hAnsi="ˎ̥" w:eastAsia="仿宋_GB2312"/>
          <w:sz w:val="32"/>
          <w:szCs w:val="32"/>
        </w:rPr>
        <w:t>房屋面积</w:t>
      </w:r>
      <w:r>
        <w:rPr>
          <w:rFonts w:hint="eastAsia" w:ascii="仿宋_GB2312" w:hAnsi="ˎ̥" w:eastAsia="仿宋_GB2312"/>
          <w:color w:val="FF0000"/>
          <w:sz w:val="32"/>
          <w:szCs w:val="32"/>
          <w:lang w:val="en-US" w:eastAsia="zh-CN"/>
        </w:rPr>
        <w:t>460</w:t>
      </w:r>
      <w:r>
        <w:rPr>
          <w:rFonts w:hint="eastAsia" w:ascii="仿宋_GB2312" w:hAnsi="ˎ̥" w:eastAsia="仿宋_GB2312"/>
          <w:sz w:val="32"/>
          <w:szCs w:val="32"/>
        </w:rPr>
        <w:t>平方米</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ˎ̥" w:eastAsia="仿宋_GB2312"/>
          <w:sz w:val="32"/>
          <w:szCs w:val="32"/>
          <w:lang w:val="en-US" w:eastAsia="zh-CN"/>
        </w:rPr>
      </w:pPr>
      <w:r>
        <w:rPr>
          <w:rFonts w:hint="eastAsia" w:ascii="仿宋_GB2312" w:hAnsi="ˎ̥" w:eastAsia="仿宋_GB2312"/>
          <w:sz w:val="32"/>
          <w:szCs w:val="32"/>
        </w:rPr>
        <w:t>本部门共有车辆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辆，其中，副部（省）级及以上领导用车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辆、主要负责人用车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辆、机要通信用车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辆、应急保障用车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辆、执法执勤用车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辆、特种专业技术用车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辆、离退休干部服务用车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辆、其他用车</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辆。</w:t>
      </w:r>
      <w:r>
        <w:rPr>
          <w:rFonts w:hint="eastAsia" w:ascii="仿宋_GB2312" w:hAnsi="ˎ̥" w:eastAsia="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单价100万元（含）以上设备（不含车辆）</w:t>
      </w:r>
      <w:r>
        <w:rPr>
          <w:rFonts w:hint="eastAsia" w:ascii="仿宋_GB2312" w:hAnsi="ˎ̥" w:eastAsia="仿宋_GB2312"/>
          <w:color w:val="FF0000"/>
          <w:sz w:val="32"/>
          <w:szCs w:val="32"/>
          <w:lang w:val="en-US" w:eastAsia="zh-CN"/>
        </w:rPr>
        <w:t>0</w:t>
      </w:r>
      <w:r>
        <w:rPr>
          <w:rFonts w:hint="eastAsia" w:ascii="仿宋_GB2312" w:hAnsi="ˎ̥" w:eastAsia="仿宋_GB2312"/>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上述国有资产占用情况相关数</w:t>
      </w:r>
      <w:r>
        <w:rPr>
          <w:rFonts w:hint="eastAsia" w:ascii="仿宋_GB2312" w:hAnsi="ˎ̥" w:eastAsia="仿宋_GB2312"/>
          <w:sz w:val="32"/>
          <w:szCs w:val="32"/>
          <w:lang w:val="en-US" w:eastAsia="zh-CN"/>
        </w:rPr>
        <w:t>据</w:t>
      </w:r>
      <w:r>
        <w:rPr>
          <w:rFonts w:hint="eastAsia" w:ascii="仿宋_GB2312" w:hAnsi="ˎ̥" w:eastAsia="仿宋_GB2312"/>
          <w:sz w:val="32"/>
          <w:szCs w:val="32"/>
        </w:rPr>
        <w:t>取自</w:t>
      </w:r>
      <w:r>
        <w:rPr>
          <w:rFonts w:hint="default" w:ascii="仿宋_GB2312" w:hAnsi="ˎ̥" w:eastAsia="仿宋_GB2312"/>
          <w:sz w:val="32"/>
          <w:szCs w:val="32"/>
          <w:lang w:val="en-US"/>
        </w:rPr>
        <w:t>2024</w:t>
      </w:r>
      <w:r>
        <w:rPr>
          <w:rFonts w:hint="eastAsia" w:ascii="仿宋_GB2312" w:hAnsi="ˎ̥" w:eastAsia="仿宋_GB2312"/>
          <w:sz w:val="32"/>
          <w:szCs w:val="32"/>
        </w:rPr>
        <w:t>年度部门决算F0</w:t>
      </w:r>
      <w:r>
        <w:rPr>
          <w:rFonts w:hint="default" w:ascii="仿宋_GB2312" w:hAnsi="ˎ̥" w:eastAsia="仿宋_GB2312"/>
          <w:sz w:val="32"/>
          <w:szCs w:val="32"/>
          <w:lang w:val="en-US"/>
        </w:rPr>
        <w:t>2</w:t>
      </w:r>
      <w:r>
        <w:rPr>
          <w:rFonts w:hint="eastAsia" w:ascii="仿宋_GB2312" w:hAnsi="ˎ̥" w:eastAsia="仿宋_GB2312"/>
          <w:sz w:val="32"/>
          <w:szCs w:val="32"/>
        </w:rPr>
        <w:t>表《预算支出相关信息表》、F03表《机构运行信息表》。）</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bookmarkStart w:id="115" w:name="_Toc17580_WPSOffice_Level1"/>
      <w:bookmarkStart w:id="116" w:name="_Toc4398_WPSOffice_Level1"/>
      <w:bookmarkStart w:id="117" w:name="_Toc8808_WPSOffice_Level1"/>
      <w:bookmarkStart w:id="118" w:name="_Toc15425_WPSOffice_Level1"/>
      <w:bookmarkStart w:id="119" w:name="_Toc8874_WPSOffice_Level1"/>
      <w:bookmarkStart w:id="120" w:name="_Toc11039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r>
        <w:rPr>
          <w:rFonts w:hint="eastAsia" w:ascii="黑体" w:hAnsi="ˎ̥" w:eastAsia="黑体"/>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sz w:val="32"/>
          <w:szCs w:val="32"/>
        </w:rPr>
      </w:pPr>
    </w:p>
    <w:p>
      <w:pPr>
        <w:keepNext w:val="0"/>
        <w:keepLines w:val="0"/>
        <w:pageBreakBefore w:val="0"/>
        <w:widowControl w:val="0"/>
        <w:numPr>
          <w:ilvl w:val="0"/>
          <w:numId w:val="6"/>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财政拨款收入：指同级政府财政部门当年拨付的各类财政拨款。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二、上级补助收入：指事业单位从主管部门和上级单位取得的非财政补助收入。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八、年初结转和结余：指以前年度尚未完成、结转到本年按有关规定继续使用的资金，或项目已完成等产生的结余资金。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rPr>
        <w:t>部门</w:t>
      </w:r>
      <w:r>
        <w:rPr>
          <w:rFonts w:hint="eastAsia" w:ascii="仿宋_GB2312" w:hAnsi="ˎ̥" w:eastAsia="仿宋_GB2312"/>
          <w:sz w:val="32"/>
          <w:szCs w:val="32"/>
          <w:lang w:eastAsia="zh-CN"/>
        </w:rPr>
        <w:t>、</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CD3CB906"/>
    <w:multiLevelType w:val="singleLevel"/>
    <w:tmpl w:val="CD3CB906"/>
    <w:lvl w:ilvl="0" w:tentative="0">
      <w:start w:val="1"/>
      <w:numFmt w:val="chineseCounting"/>
      <w:suff w:val="nothing"/>
      <w:lvlText w:val="%1、"/>
      <w:lvlJc w:val="left"/>
      <w:rPr>
        <w:rFonts w:hint="eastAsia"/>
      </w:rPr>
    </w:lvl>
  </w:abstractNum>
  <w:abstractNum w:abstractNumId="2">
    <w:nsid w:val="DC1070A6"/>
    <w:multiLevelType w:val="singleLevel"/>
    <w:tmpl w:val="DC1070A6"/>
    <w:lvl w:ilvl="0" w:tentative="0">
      <w:start w:val="1"/>
      <w:numFmt w:val="chineseCounting"/>
      <w:suff w:val="nothing"/>
      <w:lvlText w:val="（%1）"/>
      <w:lvlJc w:val="left"/>
      <w:rPr>
        <w:rFonts w:hint="eastAsia"/>
      </w:rPr>
    </w:lvl>
  </w:abstractNum>
  <w:abstractNum w:abstractNumId="3">
    <w:nsid w:val="E4AB6CBC"/>
    <w:multiLevelType w:val="singleLevel"/>
    <w:tmpl w:val="E4AB6CBC"/>
    <w:lvl w:ilvl="0" w:tentative="0">
      <w:start w:val="1"/>
      <w:numFmt w:val="chineseCounting"/>
      <w:suff w:val="nothing"/>
      <w:lvlText w:val="%1、"/>
      <w:lvlJc w:val="left"/>
      <w:rPr>
        <w:rFonts w:hint="eastAsia"/>
      </w:rPr>
    </w:lvl>
  </w:abstractNum>
  <w:abstractNum w:abstractNumId="4">
    <w:nsid w:val="E80CA1DC"/>
    <w:multiLevelType w:val="singleLevel"/>
    <w:tmpl w:val="E80CA1DC"/>
    <w:lvl w:ilvl="0" w:tentative="0">
      <w:start w:val="48"/>
      <w:numFmt w:val="decimal"/>
      <w:lvlText w:val="%1."/>
      <w:lvlJc w:val="left"/>
      <w:pPr>
        <w:tabs>
          <w:tab w:val="left" w:pos="312"/>
        </w:tabs>
      </w:pPr>
    </w:lvl>
  </w:abstractNum>
  <w:abstractNum w:abstractNumId="5">
    <w:nsid w:val="72109F8D"/>
    <w:multiLevelType w:val="singleLevel"/>
    <w:tmpl w:val="72109F8D"/>
    <w:lvl w:ilvl="0" w:tentative="0">
      <w:start w:val="7"/>
      <w:numFmt w:val="chineseCounting"/>
      <w:suff w:val="nothing"/>
      <w:lvlText w:val="%1、"/>
      <w:lvlJc w:val="left"/>
      <w:rPr>
        <w:rFonts w:hint="eastAsia"/>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RkZjQ3MDcxYjg4ODk4NjMxM2JiOWRmYzI0ODZiYTk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FC80124"/>
    <w:rsid w:val="136F98C7"/>
    <w:rsid w:val="17427E68"/>
    <w:rsid w:val="1755065F"/>
    <w:rsid w:val="1AFC29C9"/>
    <w:rsid w:val="1CA52F2E"/>
    <w:rsid w:val="1DFE370B"/>
    <w:rsid w:val="1E3630B9"/>
    <w:rsid w:val="1E500996"/>
    <w:rsid w:val="26EEC2B5"/>
    <w:rsid w:val="293D019D"/>
    <w:rsid w:val="29472309"/>
    <w:rsid w:val="2B406E77"/>
    <w:rsid w:val="2C2A0C43"/>
    <w:rsid w:val="2D1E73A5"/>
    <w:rsid w:val="32717154"/>
    <w:rsid w:val="3453381A"/>
    <w:rsid w:val="34B63260"/>
    <w:rsid w:val="37FDA7E2"/>
    <w:rsid w:val="3A314D88"/>
    <w:rsid w:val="3A746883"/>
    <w:rsid w:val="3CA15DE9"/>
    <w:rsid w:val="3FE61EE5"/>
    <w:rsid w:val="406508EE"/>
    <w:rsid w:val="408D6263"/>
    <w:rsid w:val="41B40CEE"/>
    <w:rsid w:val="453C18B9"/>
    <w:rsid w:val="48317291"/>
    <w:rsid w:val="485F7024"/>
    <w:rsid w:val="48E70666"/>
    <w:rsid w:val="4C6877E5"/>
    <w:rsid w:val="4D6A468D"/>
    <w:rsid w:val="4EA86137"/>
    <w:rsid w:val="56CA7FD0"/>
    <w:rsid w:val="57FA38D1"/>
    <w:rsid w:val="5F7D3333"/>
    <w:rsid w:val="61385890"/>
    <w:rsid w:val="687436E1"/>
    <w:rsid w:val="6DA45C50"/>
    <w:rsid w:val="6E9A7825"/>
    <w:rsid w:val="6F670F9B"/>
    <w:rsid w:val="737450E0"/>
    <w:rsid w:val="74054476"/>
    <w:rsid w:val="742F38C4"/>
    <w:rsid w:val="74AB66DC"/>
    <w:rsid w:val="74C4154C"/>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3"/>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pPr>
    <w:rPr>
      <w:rFonts w:ascii="宋体" w:hAnsi="宋体" w:eastAsia="宋体" w:cs="宋体"/>
      <w:sz w:val="24"/>
      <w:szCs w:val="24"/>
    </w:rPr>
  </w:style>
  <w:style w:type="paragraph" w:styleId="7">
    <w:name w:val="annotation subject"/>
    <w:basedOn w:val="2"/>
    <w:next w:val="2"/>
    <w:link w:val="15"/>
    <w:qFormat/>
    <w:uiPriority w:val="0"/>
    <w:rPr>
      <w:b/>
      <w:bCs/>
    </w:rPr>
  </w:style>
  <w:style w:type="character" w:styleId="10">
    <w:name w:val="page number"/>
    <w:qFormat/>
    <w:uiPriority w:val="0"/>
  </w:style>
  <w:style w:type="character" w:styleId="11">
    <w:name w:val="annotation reference"/>
    <w:qFormat/>
    <w:uiPriority w:val="0"/>
    <w:rPr>
      <w:sz w:val="21"/>
      <w:szCs w:val="21"/>
    </w:rPr>
  </w:style>
  <w:style w:type="character" w:customStyle="1" w:styleId="12">
    <w:name w:val="批注文字 Char"/>
    <w:link w:val="2"/>
    <w:qFormat/>
    <w:uiPriority w:val="0"/>
    <w:rPr>
      <w:kern w:val="2"/>
      <w:sz w:val="21"/>
      <w:szCs w:val="24"/>
    </w:rPr>
  </w:style>
  <w:style w:type="character" w:customStyle="1" w:styleId="13">
    <w:name w:val="批注框文本 Char"/>
    <w:link w:val="3"/>
    <w:qFormat/>
    <w:uiPriority w:val="0"/>
    <w:rPr>
      <w:kern w:val="2"/>
      <w:sz w:val="18"/>
      <w:szCs w:val="18"/>
    </w:rPr>
  </w:style>
  <w:style w:type="character" w:customStyle="1" w:styleId="14">
    <w:name w:val="页眉 Char"/>
    <w:link w:val="5"/>
    <w:qFormat/>
    <w:uiPriority w:val="0"/>
    <w:rPr>
      <w:kern w:val="2"/>
      <w:sz w:val="18"/>
      <w:szCs w:val="18"/>
    </w:rPr>
  </w:style>
  <w:style w:type="character" w:customStyle="1" w:styleId="15">
    <w:name w:val="批注主题 Char"/>
    <w:link w:val="7"/>
    <w:qFormat/>
    <w:uiPriority w:val="0"/>
    <w:rPr>
      <w:b/>
      <w:bCs/>
      <w:kern w:val="2"/>
      <w:sz w:val="21"/>
      <w:szCs w:val="24"/>
    </w:rPr>
  </w:style>
  <w:style w:type="paragraph" w:customStyle="1" w:styleId="16">
    <w:name w:val="WPSOffice手动目录 1"/>
    <w:qFormat/>
    <w:uiPriority w:val="0"/>
    <w:rPr>
      <w:rFonts w:ascii="Times New Roman" w:hAnsi="Times New Roman" w:eastAsia="宋体" w:cs="Times New Roman"/>
      <w:lang w:val="en-US" w:eastAsia="zh-CN" w:bidi="ar-SA"/>
    </w:rPr>
  </w:style>
  <w:style w:type="paragraph" w:customStyle="1" w:styleId="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8">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12132</Words>
  <Characters>13129</Characters>
  <Lines>67</Lines>
  <Paragraphs>18</Paragraphs>
  <TotalTime>14</TotalTime>
  <ScaleCrop>false</ScaleCrop>
  <LinksUpToDate>false</LinksUpToDate>
  <CharactersWithSpaces>13697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HP</cp:lastModifiedBy>
  <cp:lastPrinted>2023-08-03T00:58:00Z</cp:lastPrinted>
  <dcterms:modified xsi:type="dcterms:W3CDTF">2026-01-21T00:44:06Z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03AE7F14E2DC4BACB053764200FF950D_13</vt:lpwstr>
  </property>
  <property fmtid="{D5CDD505-2E9C-101B-9397-08002B2CF9AE}" pid="4" name="KSOTemplateDocerSaveRecord">
    <vt:lpwstr>eyJoZGlkIjoiY2VlZThlZDk5ZTQ4MTFjNGY3MjIxNTdiOWMzZmQwMWMiLCJ1c2VySWQiOiIyMzQ5MTc1OTYifQ==</vt:lpwstr>
  </property>
</Properties>
</file>