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申扎县市场监督管理局机关2024年度部门决算公开报告</w:t>
      </w:r>
      <w:bookmarkStart w:id="119" w:name="_GoBack"/>
      <w:bookmarkEnd w:id="119"/>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32433_WPSOffice_Level1"/>
      <w:bookmarkStart w:id="4" w:name="_Toc10049_WPSOffice_Level1"/>
      <w:bookmarkStart w:id="5" w:name="_Toc23465_WPSOffice_Level1"/>
      <w:bookmarkStart w:id="6" w:name="_Toc1704_WPSOffice_Level1"/>
      <w:bookmarkStart w:id="7" w:name="_Toc22941_WPSOffice_Level1"/>
      <w:bookmarkStart w:id="8" w:name="_Toc24238_WPSOffice_Level2"/>
      <w:bookmarkStart w:id="9" w:name="_Toc26580_WPSOffice_Level2"/>
      <w:bookmarkStart w:id="10" w:name="_Toc20205_WPSOffice_Level2"/>
      <w:bookmarkStart w:id="11" w:name="_Toc14159_WPSOffice_Level2"/>
      <w:bookmarkStart w:id="12" w:name="_Toc32622_WPSOffice_Level2"/>
      <w:bookmarkStart w:id="13" w:name="_Toc20274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（1）贯彻执行国家、自治区、市有关工商行政管理、质量技术监督、食品药品监督管理等方面的法律法规、规章政策和标准规范；依法开展市场监督管理和行政执法的有关工作。</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（2）组织推进质量发展工作；参与制定商品交易市场发展规划；负责管理市场信息化建设工作。</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（3）承担食品安全委员会的日常工作；负责食品安全监督管理综合协调，健全协调联动机制；督促有关部门和乡镇履行食品安全监督管理职责，并负责检查、考核评价工作。</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（4）负责食品安全应急体系和能力建设，组织拟定食品安全应急预案；牵头食品安全重大事故调查工作，组织指导并监督食品安全突发事件调查处置工作；负责统一发布重大食品安全信息。</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5）负责各类企业、合作社和从事经营活动的单位、个人等市场主体的登记注册及提供相关服务，并依法监督管理。组织和指导个体工商户、企业、商品交易市场信用分类管理，发布市场主体登记注册基础信息；依法查处取缔无证无照生产经营行为。</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6）负责市场和网络交易及有关服务行为的监督管理，依法规范和维护市场经营秩序。负责反垄断执法，依法查处不正当竞争、商业贿赂等经济违法案件；负责组织建设电子商务信用体系、监管体系；依法监管经纪人、经纪机构及经济活动；负责直销企业和直销员及其直销活动的监督管理，依法查处违法直销和传销案件；负责拍卖行为的监督管理。</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（7）负责流通领域商品质量监管，开展有关服务领域消费维权工作，承担消费者权益保护责任，建立消费者群以保护体系。负责涉及工商行政管理、质量技术监督、食品药品监督管理的申诉和举报工作；</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（8）组织实施合同行政监督管理和合同格式条款备案，规范合同行为；负责动产抵押物登记管理。</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（9）负责商标的监督管理；依法保护商标专用权；负责广告经营审批及广告活动的监督管理，指导广告业发展。</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10）负责产品质量安全监督和认证认可工作，管理产品质量安全强制检验、监督检查和风险监控工作；负责工业产品生产许可证管理，监督管理产品质量安全仲裁检验、鉴定；组织开展产品质量安全专项整治工作，，依法查处产品质量违法行为，按分工打击假冒伪劣违法活动。</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（11）负责管理标准化工作。</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（12）依法管理和指导质量工作，负责质量宏观管理和和产品质量监督检查。</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（13）负责管理计量工作。推行法定计量单位和国家计量制度。</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（14）负责特种设备安全监察、监督检查工作。</w:t>
      </w:r>
    </w:p>
    <w:p>
      <w:pPr>
        <w:snapToGrid w:val="0"/>
        <w:spacing w:line="520" w:lineRule="exact"/>
        <w:ind w:firstLine="0" w:firstLineChars="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等其他市场监管相关职责职能。</w:t>
      </w:r>
    </w:p>
    <w:p>
      <w:pPr>
        <w:snapToGrid w:val="0"/>
        <w:spacing w:line="520" w:lineRule="exact"/>
        <w:ind w:firstLine="640" w:firstLineChars="200"/>
        <w:rPr>
          <w:rFonts w:hint="eastAsia" w:ascii="仿宋_GB2312" w:hAnsi="仿宋" w:eastAsia="仿宋_GB2312"/>
          <w:sz w:val="32"/>
          <w:szCs w:val="32"/>
        </w:rPr>
      </w:pPr>
    </w:p>
    <w:p>
      <w:pPr>
        <w:numPr>
          <w:ilvl w:val="0"/>
          <w:numId w:val="2"/>
        </w:num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机构情况</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纳入本套部门预算汇编范围的单位只有市场监督管理局机关，无变动。</w:t>
      </w:r>
    </w:p>
    <w:p>
      <w:pPr>
        <w:numPr>
          <w:ilvl w:val="0"/>
          <w:numId w:val="0"/>
        </w:num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人员情况</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市场监督管理局现有在职人员6人，均为行政人员，比上年增加一名干部</w:t>
      </w:r>
      <w:r>
        <w:rPr>
          <w:rFonts w:hint="eastAsia" w:ascii="仿宋_GB2312" w:hAnsi="仿宋" w:eastAsia="仿宋_GB2312"/>
          <w:sz w:val="32"/>
          <w:szCs w:val="32"/>
        </w:rPr>
        <w:t>。</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（二）当年取得的主要事业成效。</w:t>
      </w:r>
    </w:p>
    <w:p>
      <w:pPr>
        <w:snapToGrid w:val="0"/>
        <w:spacing w:line="520" w:lineRule="exact"/>
        <w:ind w:firstLine="640" w:firstLineChars="200"/>
        <w:rPr>
          <w:rFonts w:hint="eastAsia" w:ascii="黑体" w:hAnsi="黑体" w:eastAsia="黑体" w:cs="黑体"/>
          <w:sz w:val="32"/>
          <w:szCs w:val="32"/>
        </w:rPr>
      </w:pPr>
      <w:r>
        <w:rPr>
          <w:rFonts w:hint="eastAsia" w:ascii="仿宋_GB2312" w:hAnsi="仿宋" w:eastAsia="仿宋_GB2312"/>
          <w:sz w:val="32"/>
          <w:szCs w:val="32"/>
          <w:lang w:val="en-US" w:eastAsia="zh-CN"/>
        </w:rPr>
        <w:t>一是党建筑基、凝聚发展合力。二是发展为要、优化营商环境，优化流程、强化市场监管、强化创造运用。三是监管为本、筑牢安全底线，强化食品药品安全保障、特种设备监督管理、产品质量安全监管工作。四是质量为魄、服务经济发展。五是诚信为重营造放心环境。</w:t>
      </w:r>
    </w:p>
    <w:p>
      <w:pPr>
        <w:spacing w:line="578" w:lineRule="exact"/>
        <w:ind w:firstLine="640" w:firstLineChars="200"/>
        <w:rPr>
          <w:rFonts w:hint="eastAsia" w:ascii="黑体" w:hAnsi="黑体" w:eastAsia="黑体" w:cs="黑体"/>
          <w:sz w:val="32"/>
          <w:szCs w:val="32"/>
        </w:rPr>
      </w:pPr>
      <w:bookmarkStart w:id="14" w:name="_Toc24474_WPSOffice_Level2"/>
      <w:bookmarkStart w:id="15" w:name="_Toc17796_WPSOffice_Level2"/>
      <w:bookmarkStart w:id="16" w:name="_Toc6572_WPSOffice_Level2"/>
      <w:bookmarkStart w:id="17" w:name="_Toc4833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default" w:ascii="仿宋_GB2312" w:hAnsi="ˎ̥" w:eastAsia="仿宋_GB2312"/>
          <w:sz w:val="32"/>
          <w:szCs w:val="32"/>
          <w:lang w:val="en-US" w:eastAsia="zh-CN"/>
        </w:rPr>
      </w:pPr>
      <w:r>
        <w:rPr>
          <w:rFonts w:hint="eastAsia" w:ascii="仿宋_GB2312" w:hAnsi="ˎ̥" w:eastAsia="仿宋_GB2312"/>
          <w:sz w:val="32"/>
          <w:szCs w:val="32"/>
        </w:rPr>
        <w:t>纳入</w:t>
      </w:r>
      <w:r>
        <w:rPr>
          <w:rFonts w:hint="eastAsia" w:ascii="仿宋_GB2312" w:hAnsi="ˎ̥" w:eastAsia="仿宋_GB2312"/>
          <w:color w:val="auto"/>
          <w:sz w:val="32"/>
          <w:szCs w:val="32"/>
          <w:lang w:val="en-US" w:eastAsia="zh-CN"/>
        </w:rPr>
        <w:t>申扎县市场监管局</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w:t>
      </w:r>
      <w:r>
        <w:rPr>
          <w:rFonts w:hint="eastAsia" w:ascii="仿宋_GB2312" w:hAnsi="ˎ̥" w:eastAsia="仿宋_GB2312"/>
          <w:sz w:val="32"/>
          <w:szCs w:val="32"/>
        </w:rPr>
        <w:t>括：</w:t>
      </w:r>
      <w:r>
        <w:rPr>
          <w:rFonts w:hint="eastAsia" w:ascii="仿宋_GB2312" w:hAnsi="ˎ̥" w:eastAsia="仿宋_GB2312"/>
          <w:sz w:val="32"/>
          <w:szCs w:val="32"/>
          <w:lang w:val="en-US" w:eastAsia="zh-CN"/>
        </w:rPr>
        <w:t>申扎县市场监管局机关</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19" w:name="_Toc28253_WPSOffice_Level1"/>
      <w:bookmarkStart w:id="20" w:name="_Toc30690_WPSOffice_Level1"/>
      <w:bookmarkStart w:id="21" w:name="_Toc15521_WPSOffice_Level1"/>
      <w:bookmarkStart w:id="22" w:name="_Toc30451_WPSOffice_Level1"/>
      <w:bookmarkStart w:id="23" w:name="_Toc8164_WPSOffice_Level1"/>
      <w:bookmarkStart w:id="24" w:name="_Toc6234_WPSOffice_Level1"/>
      <w:bookmarkStart w:id="25" w:name="_Toc4029_WPSOffice_Level2"/>
      <w:bookmarkStart w:id="26" w:name="_Toc11518_WPSOffice_Level2"/>
      <w:bookmarkStart w:id="27" w:name="_Toc32472_WPSOffice_Level2"/>
      <w:bookmarkStart w:id="28" w:name="_Toc6211_WPSOffice_Level2"/>
      <w:bookmarkStart w:id="29" w:name="_Toc8867_WPSOffice_Level2"/>
      <w:bookmarkStart w:id="30"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8622_WPSOffice_Level2"/>
      <w:bookmarkStart w:id="32" w:name="_Toc25608_WPSOffice_Level2"/>
      <w:bookmarkStart w:id="33" w:name="_Toc14349_WPSOffice_Level2"/>
      <w:bookmarkStart w:id="34" w:name="_Toc30334_WPSOffice_Level2"/>
      <w:bookmarkStart w:id="35" w:name="_Toc23139_WPSOffice_Level2"/>
      <w:bookmarkStart w:id="36" w:name="_Toc26621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3854_WPSOffice_Level2"/>
      <w:bookmarkStart w:id="38" w:name="_Toc17626_WPSOffice_Level2"/>
      <w:bookmarkStart w:id="39" w:name="_Toc5489_WPSOffice_Level2"/>
      <w:bookmarkStart w:id="40" w:name="_Toc3262_WPSOffice_Level2"/>
      <w:bookmarkStart w:id="41" w:name="_Toc17858_WPSOffice_Level2"/>
      <w:bookmarkStart w:id="42"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1415_WPSOffice_Level2"/>
      <w:bookmarkStart w:id="44" w:name="_Toc23591_WPSOffice_Level2"/>
      <w:bookmarkStart w:id="45" w:name="_Toc4265_WPSOffice_Level2"/>
      <w:bookmarkStart w:id="46" w:name="_Toc23493_WPSOffice_Level2"/>
      <w:bookmarkStart w:id="47" w:name="_Toc13701_WPSOffice_Level2"/>
      <w:bookmarkStart w:id="48" w:name="_Toc798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5166_WPSOffice_Level2"/>
      <w:bookmarkStart w:id="50" w:name="_Toc7879_WPSOffice_Level2"/>
      <w:bookmarkStart w:id="51" w:name="_Toc22783_WPSOffice_Level2"/>
      <w:bookmarkStart w:id="52" w:name="_Toc2382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632_WPSOffice_Level2"/>
      <w:bookmarkStart w:id="56" w:name="_Toc8373_WPSOffice_Level2"/>
      <w:bookmarkStart w:id="57" w:name="_Toc17283_WPSOffice_Level2"/>
      <w:bookmarkStart w:id="58" w:name="_Toc25362_WPSOffice_Level2"/>
      <w:bookmarkStart w:id="59" w:name="_Toc17833_WPSOffice_Level2"/>
      <w:bookmarkStart w:id="60" w:name="_Toc534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11799_WPSOffice_Level2"/>
      <w:bookmarkStart w:id="63" w:name="_Toc6020_WPSOffice_Level2"/>
      <w:bookmarkStart w:id="64" w:name="_Toc13345_WPSOffice_Level2"/>
      <w:bookmarkStart w:id="65" w:name="_Toc5594_WPSOffice_Level2"/>
      <w:bookmarkStart w:id="66" w:name="_Toc2131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1820_WPSOffice_Level2"/>
      <w:bookmarkStart w:id="69" w:name="_Toc29886_WPSOffice_Level2"/>
      <w:bookmarkStart w:id="70" w:name="_Toc19961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4402_WPSOffice_Level1"/>
      <w:bookmarkStart w:id="72" w:name="_Toc29683_WPSOffice_Level1"/>
      <w:bookmarkStart w:id="73" w:name="_Toc31264_WPSOffice_Level1"/>
      <w:bookmarkStart w:id="74" w:name="_Toc28629_WPSOffice_Level1"/>
      <w:bookmarkStart w:id="75" w:name="_Toc16686_WPSOffice_Level1"/>
      <w:bookmarkStart w:id="76" w:name="_Toc27590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207.13</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207.13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FF0000"/>
          <w:sz w:val="32"/>
          <w:szCs w:val="32"/>
          <w:lang w:val="en-US" w:eastAsia="zh-CN"/>
        </w:rPr>
        <w:t>44.03</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27</w:t>
      </w:r>
      <w:r>
        <w:rPr>
          <w:rFonts w:hint="eastAsia" w:ascii="仿宋_GB2312" w:hAnsi="ˎ̥" w:eastAsia="仿宋_GB2312"/>
          <w:sz w:val="32"/>
          <w:szCs w:val="32"/>
        </w:rPr>
        <w:t>%。主要原因是</w:t>
      </w:r>
      <w:r>
        <w:rPr>
          <w:rFonts w:hint="eastAsia" w:ascii="仿宋_GB2312" w:hAnsi="ˎ̥" w:eastAsia="仿宋_GB2312"/>
          <w:sz w:val="32"/>
          <w:szCs w:val="32"/>
          <w:lang w:bidi="ar"/>
        </w:rPr>
        <w:t>人员编制数量增加</w:t>
      </w:r>
      <w:r>
        <w:rPr>
          <w:rFonts w:hint="eastAsia" w:ascii="仿宋_GB2312" w:hAnsi="ˎ̥" w:eastAsia="仿宋_GB2312"/>
          <w:sz w:val="32"/>
          <w:szCs w:val="32"/>
          <w:lang w:eastAsia="zh-CN" w:bidi="ar"/>
        </w:rPr>
        <w:t>，</w:t>
      </w:r>
      <w:r>
        <w:rPr>
          <w:rFonts w:hint="eastAsia" w:ascii="仿宋_GB2312" w:hAnsi="ˎ̥" w:eastAsia="仿宋_GB2312"/>
          <w:sz w:val="32"/>
          <w:szCs w:val="32"/>
          <w:lang w:val="en-US" w:eastAsia="zh-CN" w:bidi="ar"/>
        </w:rPr>
        <w:t>该项财政拨款收入有所增加，支出随之增加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sz w:val="32"/>
          <w:szCs w:val="32"/>
        </w:rPr>
        <w:t>本年支</w:t>
      </w:r>
      <w:r>
        <w:rPr>
          <w:rFonts w:hint="eastAsia" w:ascii="仿宋_GB2312" w:hAnsi="ˎ̥" w:eastAsia="仿宋_GB2312"/>
          <w:color w:val="auto"/>
          <w:sz w:val="32"/>
          <w:szCs w:val="32"/>
        </w:rPr>
        <w:t>出</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w:t>
      </w:r>
      <w:r>
        <w:rPr>
          <w:rFonts w:hint="eastAsia" w:ascii="仿宋_GB2312" w:hAnsi="ˎ̥" w:eastAsia="仿宋_GB2312"/>
          <w:sz w:val="32"/>
          <w:szCs w:val="32"/>
        </w:rPr>
        <w:t>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w:t>
      </w:r>
      <w:r>
        <w:rPr>
          <w:rFonts w:hint="eastAsia" w:ascii="仿宋_GB2312" w:hAnsi="ˎ̥" w:eastAsia="仿宋_GB2312"/>
          <w:color w:val="auto"/>
          <w:sz w:val="32"/>
          <w:szCs w:val="32"/>
        </w:rPr>
        <w:t>入</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sz w:val="32"/>
          <w:szCs w:val="32"/>
        </w:rPr>
        <w:t>本</w:t>
      </w:r>
      <w:r>
        <w:rPr>
          <w:rFonts w:hint="eastAsia" w:ascii="仿宋_GB2312" w:hAnsi="ˎ̥" w:eastAsia="仿宋_GB2312"/>
          <w:color w:val="auto"/>
          <w:sz w:val="32"/>
          <w:szCs w:val="32"/>
        </w:rPr>
        <w:t>年支出</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178.72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86.28</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28.41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13.72</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44.03</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27</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是</w:t>
      </w:r>
      <w:r>
        <w:rPr>
          <w:rFonts w:hint="eastAsia" w:ascii="仿宋_GB2312" w:hAnsi="ˎ̥" w:eastAsia="仿宋_GB2312"/>
          <w:sz w:val="32"/>
          <w:szCs w:val="32"/>
          <w:lang w:bidi="ar"/>
        </w:rPr>
        <w:t>人员编制数量增加</w:t>
      </w:r>
      <w:r>
        <w:rPr>
          <w:rFonts w:hint="eastAsia" w:ascii="仿宋_GB2312" w:hAnsi="ˎ̥" w:eastAsia="仿宋_GB2312"/>
          <w:sz w:val="32"/>
          <w:szCs w:val="32"/>
          <w:lang w:eastAsia="zh-CN" w:bidi="ar"/>
        </w:rPr>
        <w:t>，</w:t>
      </w:r>
      <w:r>
        <w:rPr>
          <w:rFonts w:hint="eastAsia" w:ascii="仿宋_GB2312" w:hAnsi="ˎ̥" w:eastAsia="仿宋_GB2312"/>
          <w:sz w:val="32"/>
          <w:szCs w:val="32"/>
          <w:lang w:val="en-US" w:eastAsia="zh-CN" w:bidi="ar"/>
        </w:rPr>
        <w:t>该项财政拨款收入有所增加，支出随之增加</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44.03</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27</w:t>
      </w:r>
      <w:r>
        <w:rPr>
          <w:rFonts w:hint="eastAsia" w:ascii="仿宋_GB2312" w:hAnsi="ˎ̥" w:eastAsia="仿宋_GB2312"/>
          <w:color w:val="auto"/>
          <w:sz w:val="32"/>
          <w:szCs w:val="32"/>
        </w:rPr>
        <w:t>%，主要原因是</w:t>
      </w:r>
      <w:r>
        <w:rPr>
          <w:rFonts w:hint="eastAsia" w:ascii="仿宋_GB2312" w:hAnsi="ˎ̥" w:eastAsia="仿宋_GB2312"/>
          <w:sz w:val="32"/>
          <w:szCs w:val="32"/>
          <w:lang w:bidi="ar"/>
        </w:rPr>
        <w:t>人员编制数量增加</w:t>
      </w:r>
      <w:r>
        <w:rPr>
          <w:rFonts w:hint="eastAsia" w:ascii="仿宋_GB2312" w:hAnsi="ˎ̥" w:eastAsia="仿宋_GB2312"/>
          <w:sz w:val="32"/>
          <w:szCs w:val="32"/>
          <w:lang w:eastAsia="zh-CN" w:bidi="ar"/>
        </w:rPr>
        <w:t>，</w:t>
      </w:r>
      <w:r>
        <w:rPr>
          <w:rFonts w:hint="eastAsia" w:ascii="仿宋_GB2312" w:hAnsi="ˎ̥" w:eastAsia="仿宋_GB2312"/>
          <w:sz w:val="32"/>
          <w:szCs w:val="32"/>
          <w:lang w:val="en-US" w:eastAsia="zh-CN" w:bidi="ar"/>
        </w:rPr>
        <w:t>该项财政拨款收入有所增加，支出随之增加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9665_WPSOffice_Level2"/>
      <w:bookmarkStart w:id="78" w:name="_Toc17398_WPSOffice_Level2"/>
      <w:bookmarkStart w:id="79" w:name="_Toc21737_WPSOffice_Level2"/>
      <w:bookmarkStart w:id="80" w:name="_Toc23005_WPSOffice_Level2"/>
      <w:bookmarkStart w:id="81" w:name="_Toc13694_WPSOffice_Level2"/>
      <w:bookmarkStart w:id="82" w:name="_Toc9989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w:t>
      </w:r>
      <w:r>
        <w:rPr>
          <w:rFonts w:hint="eastAsia" w:ascii="仿宋_GB2312" w:hAnsi="ˎ̥" w:eastAsia="仿宋_GB2312"/>
          <w:color w:val="auto"/>
          <w:sz w:val="32"/>
          <w:szCs w:val="32"/>
        </w:rPr>
        <w:t>出</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44.03</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27</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人员编制数量增加</w:t>
      </w:r>
      <w:r>
        <w:rPr>
          <w:rFonts w:hint="eastAsia" w:ascii="仿宋_GB2312" w:hAnsi="ˎ̥" w:eastAsia="仿宋_GB2312"/>
          <w:color w:val="auto"/>
          <w:sz w:val="32"/>
          <w:szCs w:val="32"/>
          <w:lang w:eastAsia="zh-CN" w:bidi="ar"/>
        </w:rPr>
        <w:t>，</w:t>
      </w:r>
      <w:r>
        <w:rPr>
          <w:rFonts w:hint="eastAsia" w:ascii="仿宋_GB2312" w:hAnsi="ˎ̥" w:eastAsia="仿宋_GB2312"/>
          <w:color w:val="auto"/>
          <w:sz w:val="32"/>
          <w:szCs w:val="32"/>
          <w:lang w:val="en-US" w:eastAsia="zh-CN" w:bidi="ar"/>
        </w:rPr>
        <w:t>该项财政拨款收入有所增加，支出随之增加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767_WPSOffice_Level2"/>
      <w:bookmarkStart w:id="84" w:name="_Toc19535_WPSOffice_Level2"/>
      <w:bookmarkStart w:id="85" w:name="_Toc2711_WPSOffice_Level2"/>
      <w:bookmarkStart w:id="86" w:name="_Toc19075_WPSOffice_Level2"/>
      <w:bookmarkStart w:id="87" w:name="_Toc23864_WPSOffice_Level2"/>
      <w:bookmarkStart w:id="88" w:name="_Toc18793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166.52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80.4</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16.93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8.17</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13.41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6.47</w:t>
      </w:r>
      <w:r>
        <w:rPr>
          <w:rFonts w:hint="eastAsia" w:ascii="仿宋_GB2312" w:hAnsi="ˎ̥" w:eastAsia="仿宋_GB2312"/>
          <w:color w:val="auto"/>
          <w:sz w:val="32"/>
          <w:szCs w:val="32"/>
        </w:rPr>
        <w:t>%；</w:t>
      </w:r>
      <w:r>
        <w:rPr>
          <w:rFonts w:hint="eastAsia" w:ascii="仿宋_GB2312" w:hAnsi="ˎ̥" w:eastAsia="仿宋_GB2312"/>
          <w:b/>
          <w:color w:val="auto"/>
          <w:sz w:val="32"/>
          <w:szCs w:val="32"/>
          <w:lang w:val="en-US" w:eastAsia="zh-CN"/>
        </w:rPr>
        <w:t>卫生健康（类）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10.26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4.95</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9364_WPSOffice_Level2"/>
      <w:bookmarkStart w:id="90" w:name="_Toc22318_WPSOffice_Level2"/>
      <w:bookmarkStart w:id="91" w:name="_Toc15415_WPSOffice_Level2"/>
      <w:bookmarkStart w:id="92" w:name="_Toc21701_WPSOffice_Level2"/>
      <w:bookmarkStart w:id="93" w:name="_Toc9502_WPSOffice_Level2"/>
      <w:bookmarkStart w:id="94" w:name="_Toc25136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w:t>
      </w:r>
      <w:r>
        <w:rPr>
          <w:rFonts w:hint="eastAsia" w:ascii="仿宋_GB2312" w:hAnsi="ˎ̥" w:eastAsia="仿宋_GB2312"/>
          <w:color w:val="auto"/>
          <w:sz w:val="32"/>
          <w:szCs w:val="32"/>
        </w:rPr>
        <w:t>为</w:t>
      </w:r>
      <w:r>
        <w:rPr>
          <w:rFonts w:hint="eastAsia" w:ascii="仿宋_GB2312" w:hAnsi="ˎ̥" w:eastAsia="仿宋_GB2312"/>
          <w:color w:val="auto"/>
          <w:sz w:val="32"/>
          <w:szCs w:val="32"/>
          <w:lang w:val="en-US" w:eastAsia="zh-CN"/>
        </w:rPr>
        <w:t>207.13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207.13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166.52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166.52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lang w:val="en-US" w:eastAsia="zh-CN"/>
        </w:rPr>
        <w:t>2.</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16.93</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16.93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lang w:val="en-US" w:eastAsia="zh-CN"/>
        </w:rPr>
        <w:t>3.</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13.41</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13.41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b/>
          <w:color w:val="auto"/>
          <w:sz w:val="32"/>
          <w:szCs w:val="32"/>
          <w:lang w:val="en-US" w:eastAsia="zh-CN"/>
        </w:rPr>
        <w:t>卫生健康（类）</w:t>
      </w: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10.26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10.26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178.72</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167.03</w:t>
      </w:r>
      <w:r>
        <w:rPr>
          <w:rFonts w:hint="eastAsia" w:ascii="仿宋_GB2312" w:hAnsi="ˎ̥" w:eastAsia="仿宋_GB2312"/>
          <w:color w:val="auto"/>
          <w:sz w:val="32"/>
          <w:szCs w:val="32"/>
        </w:rPr>
        <w:t>万元，主要包括：工资福利支出中的基本工资、</w:t>
      </w:r>
      <w:r>
        <w:rPr>
          <w:rFonts w:hint="eastAsia" w:ascii="仿宋_GB2312" w:hAnsi="ˎ̥" w:eastAsia="仿宋_GB2312"/>
          <w:sz w:val="32"/>
          <w:szCs w:val="32"/>
        </w:rPr>
        <w:t>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11.69</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无</w:t>
      </w:r>
      <w:r>
        <w:rPr>
          <w:rFonts w:hint="eastAsia" w:ascii="仿宋_GB2312" w:hAnsi="ˎ̥" w:eastAsia="仿宋_GB2312"/>
          <w:sz w:val="32"/>
          <w:szCs w:val="32"/>
        </w:rPr>
        <w:t>政府性基金预算财政拨款支出。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w:t>
      </w:r>
      <w:r>
        <w:rPr>
          <w:rFonts w:hint="eastAsia" w:ascii="仿宋_GB2312" w:hAnsi="ˎ̥" w:eastAsia="仿宋_GB2312"/>
          <w:sz w:val="32"/>
          <w:szCs w:val="32"/>
        </w:rPr>
        <w:t>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w:t>
      </w:r>
      <w:r>
        <w:rPr>
          <w:rFonts w:hint="eastAsia" w:ascii="仿宋_GB2312" w:hAnsi="ˎ̥" w:eastAsia="仿宋_GB2312"/>
          <w:color w:val="auto"/>
          <w:sz w:val="32"/>
          <w:szCs w:val="32"/>
        </w:rPr>
        <w:t>出预算为</w:t>
      </w:r>
      <w:r>
        <w:rPr>
          <w:rFonts w:hint="default" w:ascii="仿宋_GB2312" w:hAnsi="ˎ̥" w:eastAsia="仿宋_GB2312"/>
          <w:color w:val="auto"/>
          <w:sz w:val="32"/>
          <w:szCs w:val="32"/>
          <w:lang w:val="en-US"/>
        </w:rPr>
        <w:t>1.55</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1.55</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0.33</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27.5</w:t>
      </w:r>
      <w:r>
        <w:rPr>
          <w:rFonts w:hint="eastAsia" w:ascii="仿宋_GB2312" w:hAnsi="ˎ̥" w:eastAsia="仿宋_GB2312"/>
          <w:color w:val="auto"/>
          <w:sz w:val="32"/>
          <w:szCs w:val="32"/>
        </w:rPr>
        <w:t>%，</w:t>
      </w:r>
      <w:r>
        <w:rPr>
          <w:rFonts w:ascii="仿宋_GB2312" w:hAnsi="ˎ̥" w:eastAsia="仿宋_GB2312"/>
          <w:sz w:val="32"/>
          <w:szCs w:val="32"/>
        </w:rPr>
        <w:t>主要原因是</w:t>
      </w:r>
      <w:r>
        <w:rPr>
          <w:rFonts w:hint="eastAsia" w:ascii="仿宋_GB2312" w:hAnsi="ˎ̥" w:eastAsia="仿宋_GB2312"/>
          <w:sz w:val="32"/>
          <w:szCs w:val="32"/>
          <w:lang w:bidi="ar"/>
        </w:rPr>
        <w:t>人员编制数量增加</w:t>
      </w:r>
      <w:r>
        <w:rPr>
          <w:rFonts w:hint="eastAsia" w:ascii="仿宋_GB2312" w:hAnsi="ˎ̥" w:eastAsia="仿宋_GB2312"/>
          <w:sz w:val="32"/>
          <w:szCs w:val="32"/>
          <w:lang w:eastAsia="zh-CN" w:bidi="ar"/>
        </w:rPr>
        <w:t>，</w:t>
      </w:r>
      <w:r>
        <w:rPr>
          <w:rFonts w:hint="eastAsia" w:ascii="仿宋_GB2312" w:hAnsi="ˎ̥" w:eastAsia="仿宋_GB2312"/>
          <w:sz w:val="32"/>
          <w:szCs w:val="32"/>
          <w:lang w:val="en-US" w:eastAsia="zh-CN" w:bidi="ar"/>
        </w:rPr>
        <w:t>该项财政拨款收入有所增加，支出随之增加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万元；公务用车购置及运行维护费支出决算</w:t>
      </w:r>
      <w:r>
        <w:rPr>
          <w:rFonts w:hint="default" w:ascii="仿宋_GB2312" w:hAnsi="ˎ̥" w:eastAsia="仿宋_GB2312"/>
          <w:color w:val="auto"/>
          <w:sz w:val="32"/>
          <w:szCs w:val="32"/>
          <w:lang w:val="en-US"/>
        </w:rPr>
        <w:t>1.55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1.55</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万元，年末公务用车保有量</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1.55</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车辆保险购买及出差油料费等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完成预算的100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0.33</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27.5</w:t>
      </w:r>
      <w:r>
        <w:rPr>
          <w:rFonts w:hint="eastAsia" w:ascii="仿宋_GB2312" w:hAnsi="ˎ̥" w:eastAsia="仿宋_GB2312"/>
          <w:color w:val="auto"/>
          <w:sz w:val="32"/>
          <w:szCs w:val="32"/>
        </w:rPr>
        <w:t>%，主要原因是</w:t>
      </w:r>
      <w:r>
        <w:rPr>
          <w:rFonts w:hint="eastAsia" w:ascii="仿宋_GB2312" w:hAnsi="ˎ̥" w:eastAsia="仿宋_GB2312"/>
          <w:sz w:val="32"/>
          <w:szCs w:val="32"/>
          <w:lang w:bidi="ar"/>
        </w:rPr>
        <w:t>人员编制数量增加</w:t>
      </w:r>
      <w:r>
        <w:rPr>
          <w:rFonts w:hint="eastAsia" w:ascii="仿宋_GB2312" w:hAnsi="ˎ̥" w:eastAsia="仿宋_GB2312"/>
          <w:sz w:val="32"/>
          <w:szCs w:val="32"/>
          <w:lang w:eastAsia="zh-CN" w:bidi="ar"/>
        </w:rPr>
        <w:t>，</w:t>
      </w:r>
      <w:r>
        <w:rPr>
          <w:rFonts w:hint="eastAsia" w:ascii="仿宋_GB2312" w:hAnsi="ˎ̥" w:eastAsia="仿宋_GB2312"/>
          <w:sz w:val="32"/>
          <w:szCs w:val="32"/>
          <w:lang w:val="en-US" w:eastAsia="zh-CN" w:bidi="ar"/>
        </w:rPr>
        <w:t>该项财政拨款收入有所增加，支出随之增加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auto"/>
          <w:sz w:val="32"/>
          <w:szCs w:val="32"/>
          <w:lang w:val="en-US" w:eastAsia="zh-CN"/>
        </w:rPr>
        <w:t>207.13万元，占一般公共预算项目支出总额的100%</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rPr>
        <w:t>药品（化妆品）专项资金</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28.4</w:t>
      </w:r>
      <w:r>
        <w:rPr>
          <w:rFonts w:hint="eastAsia" w:ascii="仿宋_GB2312" w:eastAsia="仿宋_GB2312"/>
          <w:color w:val="auto"/>
          <w:sz w:val="32"/>
          <w:szCs w:val="32"/>
          <w:lang w:bidi="ar"/>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我部门（单位）在部门决算中反映</w:t>
      </w:r>
      <w:r>
        <w:rPr>
          <w:rFonts w:hint="eastAsia" w:ascii="仿宋_GB2312" w:eastAsia="仿宋_GB2312"/>
          <w:color w:val="auto"/>
          <w:sz w:val="32"/>
          <w:szCs w:val="32"/>
          <w:lang w:val="en-US"/>
        </w:rPr>
        <w:t>药品（化妆品）专项资金</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食品药品安全协管员补助</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rPr>
        <w:t>药品（化妆品）专项资金</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可作为附件附后</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rPr>
        <w:t>药品（化妆品）专项资金</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98</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2.11</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2.11</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%。项目绩效目标</w:t>
      </w:r>
      <w:r>
        <w:rPr>
          <w:rFonts w:hint="eastAsia" w:ascii="仿宋_GB2312" w:eastAsia="仿宋_GB2312"/>
          <w:color w:val="auto"/>
          <w:sz w:val="32"/>
          <w:szCs w:val="32"/>
          <w:lang w:val="en-US" w:eastAsia="zh-CN"/>
        </w:rPr>
        <w:t>均已</w:t>
      </w:r>
      <w:r>
        <w:rPr>
          <w:rFonts w:hint="eastAsia" w:ascii="仿宋_GB2312" w:eastAsia="仿宋_GB2312"/>
          <w:color w:val="auto"/>
          <w:sz w:val="32"/>
          <w:szCs w:val="32"/>
        </w:rPr>
        <w:t>完成。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食品药品安全协管员补助</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可作为附件附后</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食品药品安全协管员补助</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99</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0.7344</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0.7344</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%。项目绩效目标</w:t>
      </w:r>
      <w:r>
        <w:rPr>
          <w:rFonts w:hint="eastAsia" w:ascii="仿宋_GB2312" w:eastAsia="仿宋_GB2312"/>
          <w:color w:val="auto"/>
          <w:sz w:val="32"/>
          <w:szCs w:val="32"/>
          <w:lang w:val="en-US" w:eastAsia="zh-CN"/>
        </w:rPr>
        <w:t>均已</w:t>
      </w:r>
      <w:r>
        <w:rPr>
          <w:rFonts w:hint="eastAsia" w:ascii="仿宋_GB2312" w:eastAsia="仿宋_GB2312"/>
          <w:color w:val="auto"/>
          <w:sz w:val="32"/>
          <w:szCs w:val="32"/>
        </w:rPr>
        <w:t>完成。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rPr>
        <w:t>十件实事暨食品及工业产品抽样监督管理专项经费</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可作为附件附后</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rPr>
        <w:t>十件实事暨食品及工业产品抽样监督管理专项经费</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%。项目绩效目标</w:t>
      </w:r>
      <w:r>
        <w:rPr>
          <w:rFonts w:hint="eastAsia" w:ascii="仿宋_GB2312" w:eastAsia="仿宋_GB2312"/>
          <w:color w:val="auto"/>
          <w:sz w:val="32"/>
          <w:szCs w:val="32"/>
          <w:lang w:val="en-US" w:eastAsia="zh-CN"/>
        </w:rPr>
        <w:t>均已</w:t>
      </w:r>
      <w:r>
        <w:rPr>
          <w:rFonts w:hint="eastAsia" w:ascii="仿宋_GB2312" w:eastAsia="仿宋_GB2312"/>
          <w:color w:val="auto"/>
          <w:sz w:val="32"/>
          <w:szCs w:val="32"/>
        </w:rPr>
        <w:t>完成。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rPr>
        <w:t>食品及食用农产品抽检经费</w:t>
      </w:r>
      <w:r>
        <w:rPr>
          <w:rFonts w:hint="eastAsia" w:ascii="仿宋_GB2312" w:eastAsia="仿宋_GB2312"/>
          <w:color w:val="auto"/>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rPr>
        <w:t>食品及食用农产品抽检经费</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19.66</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19.66</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%。项目绩效目标</w:t>
      </w:r>
      <w:r>
        <w:rPr>
          <w:rFonts w:hint="eastAsia" w:ascii="仿宋_GB2312" w:eastAsia="仿宋_GB2312"/>
          <w:color w:val="auto"/>
          <w:sz w:val="32"/>
          <w:szCs w:val="32"/>
          <w:lang w:val="en-US" w:eastAsia="zh-CN"/>
        </w:rPr>
        <w:t>均已</w:t>
      </w:r>
      <w:r>
        <w:rPr>
          <w:rFonts w:hint="eastAsia" w:ascii="仿宋_GB2312" w:eastAsia="仿宋_GB2312"/>
          <w:color w:val="auto"/>
          <w:sz w:val="32"/>
          <w:szCs w:val="32"/>
        </w:rPr>
        <w:t>完成。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rPr>
        <w:t>移动网络欠款</w:t>
      </w:r>
      <w:r>
        <w:rPr>
          <w:rFonts w:hint="eastAsia" w:ascii="仿宋_GB2312" w:eastAsia="仿宋_GB2312"/>
          <w:color w:val="auto"/>
          <w:sz w:val="32"/>
          <w:szCs w:val="32"/>
        </w:rPr>
        <w:t>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color w:val="auto"/>
          <w:sz w:val="32"/>
          <w:szCs w:val="32"/>
          <w:lang w:val="en-US"/>
        </w:rPr>
        <w:t>移动网络欠款</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1.9</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1.9</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100</w:t>
      </w:r>
      <w:r>
        <w:rPr>
          <w:rFonts w:hint="eastAsia" w:ascii="仿宋_GB2312" w:eastAsia="仿宋_GB2312"/>
          <w:color w:val="auto"/>
          <w:sz w:val="32"/>
          <w:szCs w:val="32"/>
        </w:rPr>
        <w:t>%。项目绩效目标</w:t>
      </w:r>
      <w:r>
        <w:rPr>
          <w:rFonts w:hint="eastAsia" w:ascii="仿宋_GB2312" w:eastAsia="仿宋_GB2312"/>
          <w:color w:val="auto"/>
          <w:sz w:val="32"/>
          <w:szCs w:val="32"/>
          <w:lang w:val="en-US" w:eastAsia="zh-CN"/>
        </w:rPr>
        <w:t>均已</w:t>
      </w:r>
      <w:r>
        <w:rPr>
          <w:rFonts w:hint="eastAsia" w:ascii="仿宋_GB2312" w:eastAsia="仿宋_GB2312"/>
          <w:color w:val="auto"/>
          <w:sz w:val="32"/>
          <w:szCs w:val="32"/>
        </w:rPr>
        <w:t>完成</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5262_WPSOffice_Level2"/>
      <w:bookmarkStart w:id="96" w:name="_Toc32639_WPSOffice_Level2"/>
      <w:bookmarkStart w:id="97" w:name="_Toc5978_WPSOffice_Level2"/>
      <w:bookmarkStart w:id="98" w:name="_Toc15565_WPSOffice_Level2"/>
      <w:bookmarkStart w:id="99" w:name="_Toc18325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color w:val="auto"/>
          <w:sz w:val="32"/>
          <w:szCs w:val="32"/>
        </w:rPr>
        <w:t>度</w:t>
      </w:r>
      <w:r>
        <w:rPr>
          <w:rFonts w:hint="eastAsia" w:ascii="仿宋_GB2312" w:hAnsi="ˎ̥" w:eastAsia="仿宋_GB2312"/>
          <w:color w:val="auto"/>
          <w:sz w:val="32"/>
          <w:szCs w:val="32"/>
          <w:lang w:val="en-US" w:eastAsia="zh-CN"/>
        </w:rPr>
        <w:t>申扎县市场监管局</w:t>
      </w:r>
      <w:r>
        <w:rPr>
          <w:rFonts w:hint="eastAsia" w:ascii="仿宋_GB2312" w:hAnsi="ˎ̥" w:eastAsia="仿宋_GB2312"/>
          <w:color w:val="auto"/>
          <w:sz w:val="32"/>
          <w:szCs w:val="32"/>
        </w:rPr>
        <w:t>部门（单位）机关运行经费</w:t>
      </w:r>
      <w:r>
        <w:rPr>
          <w:rFonts w:hint="eastAsia" w:ascii="仿宋_GB2312" w:hAnsi="ˎ̥" w:eastAsia="仿宋_GB2312"/>
          <w:color w:val="auto"/>
          <w:sz w:val="32"/>
          <w:szCs w:val="32"/>
          <w:lang w:val="en-US" w:eastAsia="zh-CN"/>
        </w:rPr>
        <w:t>11.69</w:t>
      </w:r>
      <w:r>
        <w:rPr>
          <w:rFonts w:hint="eastAsia" w:ascii="仿宋_GB2312" w:hAnsi="ˎ̥" w:eastAsia="仿宋_GB2312"/>
          <w:color w:val="auto"/>
          <w:sz w:val="32"/>
          <w:szCs w:val="32"/>
        </w:rPr>
        <w:t>万元（为部门决算中行政单位和参公事业单位财政拨款基本支出中公用经费支出之和，事业单位没有机关运行经费支出），比年初预算增加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完成预算的100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w:t>
      </w:r>
      <w:r>
        <w:rPr>
          <w:rFonts w:hint="eastAsia" w:ascii="仿宋_GB2312" w:hAnsi="ˎ̥" w:eastAsia="仿宋_GB2312"/>
          <w:color w:val="auto"/>
          <w:sz w:val="32"/>
          <w:szCs w:val="32"/>
          <w:lang w:val="en-US" w:eastAsia="zh-CN"/>
        </w:rPr>
        <w:t>11.69</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13084_WPSOffice_Level2"/>
      <w:bookmarkStart w:id="102" w:name="_Toc3131_WPSOffice_Level2"/>
      <w:bookmarkStart w:id="103" w:name="_Toc25333_WPSOffice_Level2"/>
      <w:bookmarkStart w:id="104" w:name="_Toc23966_WPSOffice_Level2"/>
      <w:bookmarkStart w:id="105" w:name="_Toc32689_WPSOffice_Level2"/>
      <w:bookmarkStart w:id="106" w:name="_Toc30383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申扎</w:t>
      </w:r>
      <w:r>
        <w:rPr>
          <w:rFonts w:hint="eastAsia" w:ascii="仿宋_GB2312" w:hAnsi="ˎ̥" w:eastAsia="仿宋_GB2312"/>
          <w:color w:val="auto"/>
          <w:sz w:val="32"/>
          <w:szCs w:val="32"/>
          <w:lang w:val="en-US" w:eastAsia="zh-CN"/>
        </w:rPr>
        <w:t>县市场监管局</w:t>
      </w:r>
      <w:r>
        <w:rPr>
          <w:rFonts w:hint="eastAsia" w:ascii="仿宋_GB2312" w:hAnsi="ˎ̥" w:eastAsia="仿宋_GB2312"/>
          <w:color w:val="auto"/>
          <w:sz w:val="32"/>
          <w:szCs w:val="32"/>
        </w:rPr>
        <w:t>部门（单位）政府采购支出总额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w:t>
      </w:r>
      <w:r>
        <w:rPr>
          <w:rFonts w:hint="eastAsia" w:ascii="仿宋_GB2312" w:hAnsi="ˎ̥"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0902_WPSOffice_Level2"/>
      <w:bookmarkStart w:id="108" w:name="_Toc527_WPSOffice_Level2"/>
      <w:bookmarkStart w:id="109" w:name="_Toc29584_WPSOffice_Level2"/>
      <w:bookmarkStart w:id="110" w:name="_Toc15129_WPSOffice_Level2"/>
      <w:bookmarkStart w:id="111" w:name="_Toc19989_WPSOffice_Level2"/>
      <w:bookmarkStart w:id="112" w:name="_Toc6016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w:t>
      </w:r>
      <w:r>
        <w:rPr>
          <w:rFonts w:hint="eastAsia" w:ascii="仿宋_GB2312" w:hAnsi="ˎ̥" w:eastAsia="仿宋_GB2312"/>
          <w:color w:val="auto"/>
          <w:sz w:val="32"/>
          <w:szCs w:val="32"/>
        </w:rPr>
        <w:t>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辆，其中，执法执勤用车</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w:t>
      </w:r>
      <w:r>
        <w:rPr>
          <w:rFonts w:hint="eastAsia" w:ascii="仿宋_GB2312" w:hAnsi="ˎ̥" w:eastAsia="仿宋_GB2312"/>
          <w:sz w:val="32"/>
          <w:szCs w:val="32"/>
        </w:rPr>
        <w:t>（套）。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74_WPSOffice_Level1"/>
      <w:bookmarkStart w:id="114" w:name="_Toc4398_WPSOffice_Level1"/>
      <w:bookmarkStart w:id="115" w:name="_Toc8808_WPSOffice_Level1"/>
      <w:bookmarkStart w:id="116" w:name="_Toc17580_WPSOffice_Level1"/>
      <w:bookmarkStart w:id="117" w:name="_Toc11039_WPSOffice_Level1"/>
      <w:bookmarkStart w:id="118"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F44F8DB"/>
    <w:multiLevelType w:val="singleLevel"/>
    <w:tmpl w:val="DF44F8DB"/>
    <w:lvl w:ilvl="0" w:tentative="0">
      <w:start w:val="2"/>
      <w:numFmt w:val="decimal"/>
      <w:suff w:val="nothing"/>
      <w:lvlText w:val="%1．"/>
      <w:lvlJc w:val="left"/>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Yjk4YmJkYThmYjNiN2UzZjRhNGY4ZDA4NGZlOG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7AB20F7"/>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AE6F16"/>
    <w:rsid w:val="37FDA7E2"/>
    <w:rsid w:val="3A314D88"/>
    <w:rsid w:val="3A746883"/>
    <w:rsid w:val="3CA15DE9"/>
    <w:rsid w:val="3FE61EE5"/>
    <w:rsid w:val="406508EE"/>
    <w:rsid w:val="408D6263"/>
    <w:rsid w:val="41B40CEE"/>
    <w:rsid w:val="45B14AE3"/>
    <w:rsid w:val="47135E57"/>
    <w:rsid w:val="48317291"/>
    <w:rsid w:val="485F7024"/>
    <w:rsid w:val="48E70666"/>
    <w:rsid w:val="49262DB0"/>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7452</Words>
  <Characters>8049</Characters>
  <Lines>67</Lines>
  <Paragraphs>18</Paragraphs>
  <TotalTime>1</TotalTime>
  <ScaleCrop>false</ScaleCrop>
  <LinksUpToDate>false</LinksUpToDate>
  <CharactersWithSpaces>8592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2026-01-30T02:44:25Z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EAB2DB7642F74F108339ADDB15E0C71E_13</vt:lpwstr>
  </property>
  <property fmtid="{D5CDD505-2E9C-101B-9397-08002B2CF9AE}" pid="4" name="KSOTemplateDocerSaveRecord">
    <vt:lpwstr>eyJoZGlkIjoiY2VlZThlZDk5ZTQ4MTFjNGY3MjIxNTdiOWMzZmQwMWMiLCJ1c2VySWQiOiIyMzQ5MTc1OTYifQ==</vt:lpwstr>
  </property>
</Properties>
</file>