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申扎县人民政府办公室机关2024年度部门决算公开报告</w:t>
      </w:r>
    </w:p>
    <w:p>
      <w:pPr>
        <w:spacing w:line="578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（公开文字说明参考模板）</w:t>
      </w:r>
    </w:p>
    <w:p>
      <w:pPr>
        <w:spacing w:line="578" w:lineRule="exact"/>
        <w:jc w:val="center"/>
        <w:rPr>
          <w:rFonts w:hint="eastAsia" w:ascii="黑体" w:hAnsi="ˎ̥" w:eastAsia="黑体"/>
          <w:b/>
          <w:sz w:val="32"/>
          <w:szCs w:val="32"/>
        </w:rPr>
      </w:pPr>
    </w:p>
    <w:p>
      <w:pPr>
        <w:spacing w:line="578" w:lineRule="exact"/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Toc11440_WPSOffice_Type2"/>
      <w:r>
        <w:rPr>
          <w:rFonts w:hint="eastAsia" w:ascii="黑体" w:hAnsi="黑体" w:eastAsia="黑体" w:cs="黑体"/>
          <w:sz w:val="44"/>
          <w:szCs w:val="44"/>
        </w:rPr>
        <w:t>目  录</w:t>
      </w:r>
    </w:p>
    <w:p>
      <w:pPr>
        <w:pStyle w:val="15"/>
        <w:tabs>
          <w:tab w:val="right" w:leader="dot" w:pos="8306"/>
        </w:tabs>
        <w:spacing w:line="578" w:lineRule="exact"/>
        <w:rPr>
          <w:rFonts w:hint="eastAsia"/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\l _Toc1704_WPSOffice_Level1 </w:instrText>
      </w:r>
      <w:r>
        <w:rPr>
          <w:sz w:val="32"/>
          <w:szCs w:val="32"/>
        </w:rPr>
        <w:fldChar w:fldCharType="separate"/>
      </w:r>
      <w:r>
        <w:rPr>
          <w:rFonts w:hint="eastAsia" w:ascii="黑体" w:hAnsi="ˎ̥" w:eastAsia="黑体"/>
          <w:sz w:val="32"/>
          <w:szCs w:val="32"/>
        </w:rPr>
        <w:t>第一部分 基本情况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2</w:t>
      </w:r>
    </w:p>
    <w:p>
      <w:pPr>
        <w:pStyle w:val="16"/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\l _Toc20274_WPSOffice_Level2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一、部门（单位）职责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2</w:t>
      </w:r>
    </w:p>
    <w:p>
      <w:pPr>
        <w:pStyle w:val="16"/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\l _Toc4833_WPSOffice_Level2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二、机构设置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2</w:t>
      </w:r>
    </w:p>
    <w:p>
      <w:pPr>
        <w:pStyle w:val="15"/>
        <w:tabs>
          <w:tab w:val="right" w:leader="dot" w:pos="8306"/>
        </w:tabs>
        <w:spacing w:line="578" w:lineRule="exact"/>
        <w:rPr>
          <w:rFonts w:hint="eastAsia"/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\l _Toc28253_WPSOffice_Level1 </w:instrText>
      </w:r>
      <w:r>
        <w:rPr>
          <w:sz w:val="32"/>
          <w:szCs w:val="32"/>
        </w:rPr>
        <w:fldChar w:fldCharType="separate"/>
      </w:r>
      <w:r>
        <w:rPr>
          <w:rFonts w:hint="eastAsia" w:ascii="黑体" w:hAnsi="ˎ̥" w:eastAsia="黑体"/>
          <w:sz w:val="32"/>
          <w:szCs w:val="32"/>
        </w:rPr>
        <w:t xml:space="preserve">第二部分  </w:t>
      </w:r>
      <w:r>
        <w:rPr>
          <w:rFonts w:hint="default" w:ascii="黑体" w:hAnsi="ˎ̥" w:eastAsia="黑体"/>
          <w:sz w:val="32"/>
          <w:szCs w:val="32"/>
          <w:lang w:val="en-US"/>
        </w:rPr>
        <w:t>2024</w:t>
      </w:r>
      <w:r>
        <w:rPr>
          <w:rFonts w:hint="eastAsia" w:ascii="黑体" w:hAnsi="ˎ̥" w:eastAsia="黑体"/>
          <w:sz w:val="32"/>
          <w:szCs w:val="32"/>
        </w:rPr>
        <w:t>年度部门决算公开表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2</w:t>
      </w:r>
    </w:p>
    <w:p>
      <w:pPr>
        <w:pStyle w:val="15"/>
        <w:tabs>
          <w:tab w:val="right" w:leader="dot" w:pos="8306"/>
        </w:tabs>
        <w:spacing w:line="578" w:lineRule="exact"/>
        <w:rPr>
          <w:rFonts w:hint="eastAsia"/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\l _Toc27590_WPSOffice_Level1 </w:instrText>
      </w:r>
      <w:r>
        <w:rPr>
          <w:sz w:val="32"/>
          <w:szCs w:val="32"/>
        </w:rPr>
        <w:fldChar w:fldCharType="separate"/>
      </w:r>
      <w:r>
        <w:rPr>
          <w:rFonts w:hint="eastAsia" w:ascii="黑体" w:hAnsi="黑体" w:eastAsia="黑体" w:cs="黑体"/>
          <w:sz w:val="32"/>
          <w:szCs w:val="32"/>
        </w:rPr>
        <w:t>第三部分</w:t>
      </w:r>
      <w:r>
        <w:rPr>
          <w:rFonts w:hint="eastAsia"/>
          <w:sz w:val="32"/>
          <w:szCs w:val="32"/>
        </w:rPr>
        <w:t xml:space="preserve">  </w:t>
      </w:r>
      <w:r>
        <w:rPr>
          <w:rFonts w:hint="default" w:ascii="黑体" w:hAnsi="ˎ̥" w:eastAsia="黑体"/>
          <w:sz w:val="32"/>
          <w:szCs w:val="32"/>
          <w:lang w:val="en-US"/>
        </w:rPr>
        <w:t>2024</w:t>
      </w:r>
      <w:r>
        <w:rPr>
          <w:rFonts w:hint="eastAsia" w:ascii="黑体" w:hAnsi="ˎ̥" w:eastAsia="黑体"/>
          <w:sz w:val="32"/>
          <w:szCs w:val="32"/>
        </w:rPr>
        <w:t>年度部门决算情况说明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3</w:t>
      </w:r>
    </w:p>
    <w:p>
      <w:pPr>
        <w:pStyle w:val="16"/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\l _Toc21737_WPSOffice_Level2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bCs/>
          <w:sz w:val="32"/>
          <w:szCs w:val="32"/>
        </w:rPr>
        <w:t>一、收入支出总体情况说明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3</w:t>
      </w:r>
    </w:p>
    <w:p>
      <w:pPr>
        <w:pStyle w:val="16"/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\l _Toc19535_WPSOffice_Level2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bCs/>
          <w:sz w:val="32"/>
          <w:szCs w:val="32"/>
        </w:rPr>
        <w:t>二、收入决算情况说明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4</w:t>
      </w:r>
    </w:p>
    <w:p>
      <w:pPr>
        <w:pStyle w:val="16"/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\l _Toc19535_WPSOffice_Level2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bCs/>
          <w:sz w:val="32"/>
          <w:szCs w:val="32"/>
        </w:rPr>
        <w:t>三、支出决算情况说明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4</w:t>
      </w:r>
    </w:p>
    <w:p>
      <w:pPr>
        <w:pStyle w:val="16"/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\l _Toc19535_WPSOffice_Level2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bCs/>
          <w:sz w:val="32"/>
          <w:szCs w:val="32"/>
        </w:rPr>
        <w:t>四、财政拨款收入支出决算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总体</w:t>
      </w:r>
      <w:r>
        <w:rPr>
          <w:rFonts w:hint="eastAsia" w:ascii="仿宋" w:hAnsi="仿宋" w:eastAsia="仿宋" w:cs="仿宋"/>
          <w:bCs/>
          <w:sz w:val="32"/>
          <w:szCs w:val="32"/>
        </w:rPr>
        <w:t>情况说明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4</w:t>
      </w:r>
    </w:p>
    <w:p>
      <w:pPr>
        <w:pStyle w:val="16"/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\l _Toc19535_WPSOffice_Level2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bCs/>
          <w:sz w:val="32"/>
          <w:szCs w:val="32"/>
        </w:rPr>
        <w:t>五、一般公共预算财政拨款支出决算情况说明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5</w:t>
      </w:r>
    </w:p>
    <w:p>
      <w:pPr>
        <w:pStyle w:val="16"/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\l _Toc19535_WPSOffice_Level2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bCs/>
          <w:sz w:val="32"/>
          <w:szCs w:val="32"/>
        </w:rPr>
        <w:t>六、一般公共预算财政拨款基本支出决算情况说明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6</w:t>
      </w:r>
    </w:p>
    <w:p>
      <w:pPr>
        <w:pStyle w:val="16"/>
        <w:numPr>
          <w:ilvl w:val="0"/>
          <w:numId w:val="1"/>
        </w:numPr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政府性基金预算财政拨款支出决算情况说明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7</w:t>
      </w:r>
    </w:p>
    <w:p>
      <w:pPr>
        <w:pStyle w:val="16"/>
        <w:numPr>
          <w:ilvl w:val="0"/>
          <w:numId w:val="1"/>
        </w:numPr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国有资本经营预算财政拨款支出决算情况说明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8</w:t>
      </w:r>
    </w:p>
    <w:p>
      <w:pPr>
        <w:pStyle w:val="16"/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\l _Toc19535_WPSOffice_Level2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bCs/>
          <w:sz w:val="32"/>
          <w:szCs w:val="32"/>
        </w:rPr>
        <w:t>九、财政拨款“三公”经费支出决算情况说明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9</w:t>
      </w:r>
    </w:p>
    <w:p>
      <w:pPr>
        <w:pStyle w:val="16"/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\l _Toc19535_WPSOffice_Level2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bCs/>
          <w:sz w:val="32"/>
          <w:szCs w:val="32"/>
        </w:rPr>
        <w:t>十、预算绩效情况说明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11</w:t>
      </w:r>
    </w:p>
    <w:p>
      <w:pPr>
        <w:pStyle w:val="16"/>
        <w:tabs>
          <w:tab w:val="right" w:leader="dot" w:pos="8306"/>
        </w:tabs>
        <w:spacing w:line="578" w:lineRule="exac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十一、其他重要事项情况说明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13</w:t>
      </w:r>
    </w:p>
    <w:p>
      <w:pPr>
        <w:pStyle w:val="15"/>
        <w:tabs>
          <w:tab w:val="right" w:leader="dot" w:pos="8306"/>
        </w:tabs>
        <w:spacing w:line="578" w:lineRule="exact"/>
        <w:rPr>
          <w:rFonts w:hint="eastAsia" w:ascii="黑体" w:hAnsi="ˎ̥"/>
          <w:b/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\l _Toc15425_WPSOffice_Level1 </w:instrText>
      </w:r>
      <w:r>
        <w:rPr>
          <w:sz w:val="32"/>
          <w:szCs w:val="32"/>
        </w:rPr>
        <w:fldChar w:fldCharType="separate"/>
      </w:r>
      <w:r>
        <w:rPr>
          <w:rFonts w:hint="eastAsia" w:ascii="黑体" w:hAnsi="ˎ̥" w:eastAsia="黑体"/>
          <w:sz w:val="32"/>
          <w:szCs w:val="32"/>
        </w:rPr>
        <w:t>第四部分  名词解释</w:t>
      </w:r>
      <w:r>
        <w:rPr>
          <w:sz w:val="32"/>
          <w:szCs w:val="32"/>
        </w:rPr>
        <w:tab/>
      </w:r>
      <w:bookmarkStart w:id="1" w:name="_Toc15425_WPSOffice_Level1Page"/>
      <w:r>
        <w:rPr>
          <w:sz w:val="32"/>
          <w:szCs w:val="32"/>
        </w:rPr>
        <w:t>1</w:t>
      </w:r>
      <w:bookmarkEnd w:id="1"/>
      <w:r>
        <w:rPr>
          <w:sz w:val="32"/>
          <w:szCs w:val="32"/>
        </w:rPr>
        <w:fldChar w:fldCharType="end"/>
      </w:r>
      <w:bookmarkEnd w:id="0"/>
      <w:r>
        <w:rPr>
          <w:rFonts w:hint="eastAsia"/>
          <w:sz w:val="32"/>
          <w:szCs w:val="32"/>
        </w:rPr>
        <w:t>5</w:t>
      </w:r>
    </w:p>
    <w:p>
      <w:pPr>
        <w:spacing w:line="578" w:lineRule="exact"/>
        <w:jc w:val="both"/>
        <w:rPr>
          <w:rFonts w:hint="eastAsia" w:ascii="黑体" w:hAnsi="ˎ̥" w:eastAsia="黑体"/>
          <w:sz w:val="32"/>
          <w:szCs w:val="32"/>
        </w:rPr>
      </w:pPr>
      <w:bookmarkStart w:id="2" w:name="_Toc1704_WPSOffice_Level1"/>
      <w:bookmarkStart w:id="3" w:name="_Toc10049_WPSOffice_Level1"/>
      <w:bookmarkStart w:id="4" w:name="_Toc10720_WPSOffice_Level1"/>
      <w:bookmarkStart w:id="5" w:name="_Toc23465_WPSOffice_Level1"/>
      <w:bookmarkStart w:id="6" w:name="_Toc22941_WPSOffice_Level1"/>
      <w:bookmarkStart w:id="7" w:name="_Toc32433_WPSOffice_Level1"/>
      <w:bookmarkStart w:id="8" w:name="_Toc24238_WPSOffice_Level2"/>
      <w:bookmarkStart w:id="9" w:name="_Toc14159_WPSOffice_Level2"/>
      <w:bookmarkStart w:id="10" w:name="_Toc26580_WPSOffice_Level2"/>
      <w:bookmarkStart w:id="11" w:name="_Toc20205_WPSOffice_Level2"/>
      <w:bookmarkStart w:id="12" w:name="_Toc20274_WPSOffice_Level2"/>
      <w:bookmarkStart w:id="13" w:name="_Toc32622_WPSOffice_Level2"/>
    </w:p>
    <w:p>
      <w:pPr>
        <w:spacing w:line="578" w:lineRule="exact"/>
        <w:jc w:val="center"/>
        <w:rPr>
          <w:rFonts w:hint="eastAsia" w:ascii="黑体" w:hAnsi="ˎ̥" w:eastAsia="黑体"/>
          <w:sz w:val="32"/>
          <w:szCs w:val="32"/>
        </w:rPr>
      </w:pPr>
      <w:r>
        <w:rPr>
          <w:rFonts w:hint="eastAsia" w:ascii="黑体" w:hAnsi="ˎ̥" w:eastAsia="黑体"/>
          <w:sz w:val="32"/>
          <w:szCs w:val="32"/>
        </w:rPr>
        <w:t xml:space="preserve">第一部分  </w:t>
      </w:r>
      <w:bookmarkEnd w:id="2"/>
      <w:bookmarkEnd w:id="3"/>
      <w:bookmarkEnd w:id="4"/>
      <w:bookmarkEnd w:id="5"/>
      <w:bookmarkEnd w:id="6"/>
      <w:bookmarkEnd w:id="7"/>
      <w:r>
        <w:rPr>
          <w:rFonts w:hint="eastAsia" w:ascii="黑体" w:hAnsi="ˎ̥" w:eastAsia="黑体"/>
          <w:sz w:val="32"/>
          <w:szCs w:val="32"/>
        </w:rPr>
        <w:t>基本情况</w:t>
      </w:r>
    </w:p>
    <w:p>
      <w:pPr>
        <w:spacing w:line="578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</w:p>
    <w:p>
      <w:pPr>
        <w:numPr>
          <w:ilvl w:val="0"/>
          <w:numId w:val="2"/>
        </w:numPr>
        <w:spacing w:line="578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部门</w:t>
      </w:r>
      <w:bookmarkEnd w:id="8"/>
      <w:r>
        <w:rPr>
          <w:rFonts w:hint="eastAsia" w:ascii="黑体" w:hAnsi="黑体" w:eastAsia="黑体" w:cs="黑体"/>
          <w:sz w:val="32"/>
          <w:szCs w:val="32"/>
        </w:rPr>
        <w:t>（单位）职责</w:t>
      </w:r>
      <w:bookmarkEnd w:id="9"/>
      <w:bookmarkEnd w:id="10"/>
      <w:bookmarkEnd w:id="11"/>
      <w:bookmarkEnd w:id="12"/>
      <w:bookmarkEnd w:id="13"/>
    </w:p>
    <w:p>
      <w:pPr>
        <w:spacing w:line="552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（一）负责处理县政府日常政务和事务。负责县政府会议和县政府领导同志重要活动的组织安排，协助县政府领导同志组织实施会议决定事项。</w:t>
      </w:r>
    </w:p>
    <w:p>
      <w:pPr>
        <w:spacing w:line="552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（二）负责组织起草或审核以县政府、县政府办公室名义发布的公文和县政府领导同志的有关文稿，承办自治区政府、市政府及其他部委（办、局）的来文来电。</w:t>
      </w:r>
    </w:p>
    <w:p>
      <w:pPr>
        <w:spacing w:line="552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（三）研究各乡（镇）政府、县政府各部门请示县政府的事项，提出审核意见，报县政府领导同志审批。</w:t>
      </w:r>
    </w:p>
    <w:p>
      <w:pPr>
        <w:spacing w:line="552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（四）根据县政府领导同志的指示，对各乡（镇）政府、县政府各部门之间出现的争议问题，提出处理意见，报县政府领导同志决策。</w:t>
      </w:r>
    </w:p>
    <w:p>
      <w:pPr>
        <w:spacing w:line="552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（五）负责县政府值班工作，指导乡（镇）政府及县政府各部门值班工作，及时报告重要情况，传达和督促落实县政府领导批示。</w:t>
      </w:r>
    </w:p>
    <w:p>
      <w:pPr>
        <w:spacing w:line="552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（六）负责推进指导、协调监督全县党政信息公开和机关效能建设工作。负责信息公开和党务政务公开工作，编辑政府公报。</w:t>
      </w:r>
    </w:p>
    <w:p>
      <w:pPr>
        <w:spacing w:line="552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（七）牵头推进法治政府建设、依法行政和“放管服”工作。</w:t>
      </w:r>
    </w:p>
    <w:p>
      <w:pPr>
        <w:spacing w:line="552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（八）负责上级工作组、来宾的接待服务保障工作。</w:t>
      </w:r>
    </w:p>
    <w:p>
      <w:pPr>
        <w:spacing w:line="552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（九）负责县政府公务用车，党政机关后勤事务管理等工作。</w:t>
      </w:r>
    </w:p>
    <w:p>
      <w:pPr>
        <w:spacing w:line="552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（十）负责县外事工作，牵头负责相关协调和服务工作。</w:t>
      </w:r>
    </w:p>
    <w:p>
      <w:pPr>
        <w:snapToGrid/>
        <w:spacing w:line="552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（十一）完成县委、县政府和县政府领导同志交办的其他任务。 </w:t>
      </w:r>
    </w:p>
    <w:p>
      <w:pPr>
        <w:spacing w:line="578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bookmarkStart w:id="14" w:name="_Toc24059_WPSOffice_Level2"/>
      <w:bookmarkStart w:id="15" w:name="_Toc24474_WPSOffice_Level2"/>
      <w:bookmarkStart w:id="16" w:name="_Toc6572_WPSOffice_Level2"/>
      <w:bookmarkStart w:id="17" w:name="_Toc17796_WPSOffice_Level2"/>
      <w:bookmarkStart w:id="18" w:name="_Toc4833_WPSOffice_Level2"/>
      <w:r>
        <w:rPr>
          <w:rFonts w:hint="eastAsia" w:ascii="黑体" w:hAnsi="黑体" w:eastAsia="黑体" w:cs="黑体"/>
          <w:sz w:val="32"/>
          <w:szCs w:val="32"/>
        </w:rPr>
        <w:t>二、机构设置</w:t>
      </w:r>
      <w:bookmarkEnd w:id="14"/>
      <w:bookmarkEnd w:id="15"/>
      <w:bookmarkEnd w:id="16"/>
      <w:bookmarkEnd w:id="17"/>
      <w:bookmarkEnd w:id="18"/>
    </w:p>
    <w:p>
      <w:pPr>
        <w:spacing w:line="578" w:lineRule="exact"/>
        <w:ind w:firstLine="640" w:firstLineChars="200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纳入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政府办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年度部门决算编制范围的单位共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ˎ̥" w:eastAsia="仿宋_GB2312"/>
          <w:sz w:val="32"/>
          <w:szCs w:val="32"/>
        </w:rPr>
        <w:t>个，包括：</w:t>
      </w:r>
    </w:p>
    <w:p>
      <w:pPr>
        <w:spacing w:line="578" w:lineRule="exact"/>
        <w:ind w:firstLine="640" w:firstLineChars="200"/>
        <w:rPr>
          <w:rFonts w:hint="eastAsia" w:ascii="方正楷体_GBK" w:hAnsi="方正楷体_GBK" w:eastAsia="方正楷体_GBK" w:cs="方正楷体_GBK"/>
          <w:sz w:val="32"/>
          <w:szCs w:val="32"/>
        </w:rPr>
      </w:pPr>
      <w:bookmarkStart w:id="19" w:name="_Toc24421_WPSOffice_Level2"/>
      <w:bookmarkStart w:id="20" w:name="_Toc25738_WPSOffice_Level2"/>
      <w:r>
        <w:rPr>
          <w:rFonts w:hint="eastAsia" w:ascii="方正楷体_GBK" w:hAnsi="方正楷体_GBK" w:eastAsia="方正楷体_GBK" w:cs="方正楷体_GBK"/>
          <w:sz w:val="32"/>
          <w:szCs w:val="32"/>
        </w:rPr>
        <w:t>（一）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政府办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部门本级</w:t>
      </w:r>
      <w:bookmarkEnd w:id="19"/>
      <w:bookmarkEnd w:id="20"/>
    </w:p>
    <w:p>
      <w:pPr>
        <w:spacing w:line="578" w:lineRule="exact"/>
        <w:jc w:val="center"/>
        <w:rPr>
          <w:rFonts w:hint="eastAsia" w:ascii="黑体" w:hAnsi="ˎ̥" w:eastAsia="黑体"/>
          <w:sz w:val="32"/>
          <w:szCs w:val="32"/>
        </w:rPr>
      </w:pPr>
      <w:bookmarkStart w:id="21" w:name="_Toc30690_WPSOffice_Level1"/>
      <w:bookmarkStart w:id="22" w:name="_Toc8164_WPSOffice_Level1"/>
      <w:bookmarkStart w:id="23" w:name="_Toc6234_WPSOffice_Level1"/>
      <w:bookmarkStart w:id="24" w:name="_Toc15521_WPSOffice_Level1"/>
      <w:bookmarkStart w:id="25" w:name="_Toc30451_WPSOffice_Level1"/>
      <w:bookmarkStart w:id="26" w:name="_Toc28253_WPSOffice_Level1"/>
      <w:bookmarkStart w:id="27" w:name="_Toc8867_WPSOffice_Level2"/>
      <w:bookmarkStart w:id="28" w:name="_Toc4029_WPSOffice_Level2"/>
      <w:bookmarkStart w:id="29" w:name="_Toc32472_WPSOffice_Level2"/>
      <w:bookmarkStart w:id="30" w:name="_Toc6211_WPSOffice_Level2"/>
      <w:bookmarkStart w:id="31" w:name="_Toc11518_WPSOffice_Level2"/>
      <w:bookmarkStart w:id="32" w:name="_Toc32695_WPSOffice_Level2"/>
    </w:p>
    <w:p>
      <w:pPr>
        <w:spacing w:line="578" w:lineRule="exact"/>
        <w:jc w:val="center"/>
        <w:rPr>
          <w:rFonts w:hint="eastAsia" w:ascii="黑体" w:hAnsi="ˎ̥" w:eastAsia="黑体"/>
          <w:sz w:val="32"/>
          <w:szCs w:val="32"/>
        </w:rPr>
      </w:pPr>
      <w:r>
        <w:rPr>
          <w:rFonts w:hint="eastAsia" w:ascii="黑体" w:hAnsi="ˎ̥" w:eastAsia="黑体"/>
          <w:sz w:val="32"/>
          <w:szCs w:val="32"/>
        </w:rPr>
        <w:t xml:space="preserve">第二部分  </w:t>
      </w:r>
      <w:r>
        <w:rPr>
          <w:rFonts w:hint="default" w:ascii="黑体" w:hAnsi="ˎ̥" w:eastAsia="黑体"/>
          <w:sz w:val="32"/>
          <w:szCs w:val="32"/>
          <w:lang w:val="en-US"/>
        </w:rPr>
        <w:t>2024</w:t>
      </w:r>
      <w:r>
        <w:rPr>
          <w:rFonts w:hint="eastAsia" w:ascii="黑体" w:hAnsi="ˎ̥" w:eastAsia="黑体"/>
          <w:sz w:val="32"/>
          <w:szCs w:val="32"/>
        </w:rPr>
        <w:t>年度部门决算公开报表</w:t>
      </w:r>
      <w:bookmarkEnd w:id="21"/>
      <w:bookmarkEnd w:id="22"/>
      <w:bookmarkEnd w:id="23"/>
      <w:bookmarkEnd w:id="24"/>
      <w:bookmarkEnd w:id="25"/>
      <w:bookmarkEnd w:id="26"/>
    </w:p>
    <w:p>
      <w:pPr>
        <w:spacing w:line="578" w:lineRule="exact"/>
        <w:ind w:firstLine="645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78" w:lineRule="exact"/>
        <w:ind w:firstLine="64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一、收入支出决算公开表</w:t>
      </w:r>
      <w:bookmarkEnd w:id="27"/>
      <w:bookmarkEnd w:id="28"/>
      <w:bookmarkEnd w:id="29"/>
      <w:bookmarkEnd w:id="30"/>
      <w:bookmarkEnd w:id="31"/>
      <w:bookmarkEnd w:id="32"/>
    </w:p>
    <w:p>
      <w:pPr>
        <w:spacing w:line="578" w:lineRule="exact"/>
        <w:ind w:firstLine="645"/>
        <w:rPr>
          <w:rFonts w:hint="eastAsia" w:ascii="黑体" w:hAnsi="黑体" w:eastAsia="黑体" w:cs="黑体"/>
          <w:sz w:val="32"/>
          <w:szCs w:val="32"/>
        </w:rPr>
      </w:pPr>
      <w:bookmarkStart w:id="33" w:name="_Toc14349_WPSOffice_Level2"/>
      <w:bookmarkStart w:id="34" w:name="_Toc25608_WPSOffice_Level2"/>
      <w:bookmarkStart w:id="35" w:name="_Toc30334_WPSOffice_Level2"/>
      <w:bookmarkStart w:id="36" w:name="_Toc23139_WPSOffice_Level2"/>
      <w:bookmarkStart w:id="37" w:name="_Toc26621_WPSOffice_Level2"/>
      <w:bookmarkStart w:id="38" w:name="_Toc28622_WPSOffice_Level2"/>
      <w:r>
        <w:rPr>
          <w:rFonts w:hint="eastAsia" w:ascii="黑体" w:hAnsi="黑体" w:eastAsia="黑体" w:cs="黑体"/>
          <w:sz w:val="32"/>
          <w:szCs w:val="32"/>
        </w:rPr>
        <w:t>二、收入决算公开表</w:t>
      </w:r>
      <w:bookmarkEnd w:id="33"/>
      <w:bookmarkEnd w:id="34"/>
      <w:bookmarkEnd w:id="35"/>
      <w:bookmarkEnd w:id="36"/>
      <w:bookmarkEnd w:id="37"/>
      <w:bookmarkEnd w:id="38"/>
      <w:bookmarkStart w:id="39" w:name="_Toc3262_WPSOffice_Level2"/>
      <w:bookmarkStart w:id="40" w:name="_Toc13854_WPSOffice_Level2"/>
      <w:bookmarkStart w:id="41" w:name="_Toc17626_WPSOffice_Level2"/>
      <w:bookmarkStart w:id="42" w:name="_Toc17858_WPSOffice_Level2"/>
      <w:bookmarkStart w:id="43" w:name="_Toc5489_WPSOffice_Level2"/>
      <w:bookmarkStart w:id="44" w:name="_Toc14658_WPSOffice_Level2"/>
    </w:p>
    <w:p>
      <w:pPr>
        <w:spacing w:line="578" w:lineRule="exact"/>
        <w:ind w:firstLine="64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三、支出决算公开表</w:t>
      </w:r>
      <w:bookmarkEnd w:id="39"/>
      <w:bookmarkEnd w:id="40"/>
      <w:bookmarkEnd w:id="41"/>
      <w:bookmarkEnd w:id="42"/>
      <w:bookmarkEnd w:id="43"/>
      <w:bookmarkEnd w:id="44"/>
      <w:bookmarkStart w:id="45" w:name="_Toc4265_WPSOffice_Level2"/>
      <w:bookmarkStart w:id="46" w:name="_Toc21415_WPSOffice_Level2"/>
      <w:bookmarkStart w:id="47" w:name="_Toc23493_WPSOffice_Level2"/>
      <w:bookmarkStart w:id="48" w:name="_Toc23591_WPSOffice_Level2"/>
      <w:bookmarkStart w:id="49" w:name="_Toc7988_WPSOffice_Level2"/>
      <w:bookmarkStart w:id="50" w:name="_Toc13701_WPSOffice_Level2"/>
    </w:p>
    <w:p>
      <w:pPr>
        <w:spacing w:line="578" w:lineRule="exact"/>
        <w:ind w:firstLine="64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四、财政拨款收入支出决算公开表</w:t>
      </w:r>
      <w:bookmarkEnd w:id="45"/>
      <w:bookmarkEnd w:id="46"/>
      <w:bookmarkEnd w:id="47"/>
      <w:bookmarkEnd w:id="48"/>
      <w:bookmarkEnd w:id="49"/>
      <w:bookmarkEnd w:id="50"/>
    </w:p>
    <w:p>
      <w:pPr>
        <w:spacing w:line="578" w:lineRule="exact"/>
        <w:ind w:firstLine="645"/>
        <w:rPr>
          <w:rFonts w:hint="eastAsia" w:ascii="黑体" w:hAnsi="黑体" w:eastAsia="黑体" w:cs="黑体"/>
          <w:sz w:val="32"/>
          <w:szCs w:val="32"/>
        </w:rPr>
      </w:pPr>
      <w:bookmarkStart w:id="51" w:name="_Toc25166_WPSOffice_Level2"/>
      <w:bookmarkStart w:id="52" w:name="_Toc7879_WPSOffice_Level2"/>
      <w:bookmarkStart w:id="53" w:name="_Toc22783_WPSOffice_Level2"/>
      <w:bookmarkStart w:id="54" w:name="_Toc23829_WPSOffice_Level2"/>
      <w:bookmarkStart w:id="55" w:name="_Toc13516_WPSOffice_Level2"/>
      <w:bookmarkStart w:id="56" w:name="_Toc2158_WPSOffice_Level2"/>
      <w:r>
        <w:rPr>
          <w:rFonts w:hint="eastAsia" w:ascii="黑体" w:hAnsi="黑体" w:eastAsia="黑体" w:cs="黑体"/>
          <w:sz w:val="32"/>
          <w:szCs w:val="32"/>
        </w:rPr>
        <w:t>五、一般公共预算财政拨款收入支出决算</w:t>
      </w:r>
      <w:bookmarkEnd w:id="51"/>
      <w:bookmarkEnd w:id="52"/>
      <w:bookmarkEnd w:id="53"/>
      <w:bookmarkEnd w:id="54"/>
      <w:r>
        <w:rPr>
          <w:rFonts w:hint="eastAsia" w:ascii="黑体" w:hAnsi="黑体" w:eastAsia="黑体" w:cs="黑体"/>
          <w:sz w:val="32"/>
          <w:szCs w:val="32"/>
        </w:rPr>
        <w:t>公开表</w:t>
      </w:r>
      <w:bookmarkEnd w:id="55"/>
      <w:bookmarkEnd w:id="56"/>
      <w:bookmarkStart w:id="57" w:name="_Toc17833_WPSOffice_Level2"/>
      <w:bookmarkStart w:id="58" w:name="_Toc8373_WPSOffice_Level2"/>
      <w:bookmarkStart w:id="59" w:name="_Toc2632_WPSOffice_Level2"/>
      <w:bookmarkStart w:id="60" w:name="_Toc17283_WPSOffice_Level2"/>
      <w:bookmarkStart w:id="61" w:name="_Toc25362_WPSOffice_Level2"/>
      <w:bookmarkStart w:id="62" w:name="_Toc5343_WPSOffice_Level2"/>
    </w:p>
    <w:p>
      <w:pPr>
        <w:spacing w:line="578" w:lineRule="exact"/>
        <w:ind w:firstLine="64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六、一般公共预算财政拨款基本支出决算</w:t>
      </w:r>
      <w:bookmarkEnd w:id="57"/>
      <w:bookmarkEnd w:id="58"/>
      <w:bookmarkEnd w:id="59"/>
      <w:bookmarkEnd w:id="60"/>
      <w:bookmarkEnd w:id="61"/>
      <w:bookmarkEnd w:id="62"/>
      <w:r>
        <w:rPr>
          <w:rFonts w:hint="eastAsia" w:ascii="黑体" w:hAnsi="黑体" w:eastAsia="黑体" w:cs="黑体"/>
          <w:sz w:val="32"/>
          <w:szCs w:val="32"/>
        </w:rPr>
        <w:t>公开表</w:t>
      </w:r>
    </w:p>
    <w:p>
      <w:pPr>
        <w:spacing w:line="578" w:lineRule="exact"/>
        <w:ind w:left="1118" w:leftChars="304" w:hanging="480" w:hangingChars="150"/>
        <w:rPr>
          <w:rFonts w:hint="eastAsia" w:ascii="黑体" w:hAnsi="黑体" w:eastAsia="黑体" w:cs="黑体"/>
          <w:sz w:val="32"/>
          <w:szCs w:val="32"/>
        </w:rPr>
      </w:pPr>
      <w:bookmarkStart w:id="63" w:name="_Toc13345_WPSOffice_Level2"/>
      <w:bookmarkStart w:id="64" w:name="_Toc11799_WPSOffice_Level2"/>
      <w:bookmarkStart w:id="65" w:name="_Toc6020_WPSOffice_Level2"/>
      <w:bookmarkStart w:id="66" w:name="_Toc21310_WPSOffice_Level2"/>
      <w:bookmarkStart w:id="67" w:name="_Toc1533_WPSOffice_Level2"/>
      <w:bookmarkStart w:id="68" w:name="_Toc5594_WPSOffice_Level2"/>
      <w:r>
        <w:rPr>
          <w:rFonts w:hint="eastAsia" w:ascii="黑体" w:hAnsi="黑体" w:eastAsia="黑体" w:cs="黑体"/>
          <w:sz w:val="32"/>
          <w:szCs w:val="32"/>
        </w:rPr>
        <w:t>七、政府性基金预算财政拨款收入支出决算</w:t>
      </w:r>
      <w:bookmarkEnd w:id="63"/>
      <w:bookmarkEnd w:id="64"/>
      <w:bookmarkEnd w:id="65"/>
      <w:bookmarkEnd w:id="66"/>
      <w:bookmarkEnd w:id="67"/>
      <w:bookmarkEnd w:id="68"/>
      <w:r>
        <w:rPr>
          <w:rFonts w:hint="eastAsia" w:ascii="黑体" w:hAnsi="黑体" w:eastAsia="黑体" w:cs="黑体"/>
          <w:sz w:val="32"/>
          <w:szCs w:val="32"/>
        </w:rPr>
        <w:t>公开表</w:t>
      </w:r>
    </w:p>
    <w:p>
      <w:pPr>
        <w:spacing w:line="578" w:lineRule="exact"/>
        <w:ind w:left="1118" w:leftChars="304" w:hanging="480" w:hangingChars="15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八、国有资本经营预算财政拨款收入支出决算公开表</w:t>
      </w:r>
    </w:p>
    <w:p>
      <w:pPr>
        <w:spacing w:line="578" w:lineRule="exact"/>
        <w:ind w:firstLine="640"/>
        <w:rPr>
          <w:rFonts w:hint="eastAsia" w:ascii="黑体" w:hAnsi="黑体" w:eastAsia="黑体" w:cs="黑体"/>
          <w:sz w:val="32"/>
          <w:szCs w:val="32"/>
        </w:rPr>
      </w:pPr>
      <w:bookmarkStart w:id="69" w:name="_Toc29886_WPSOffice_Level2"/>
      <w:bookmarkStart w:id="70" w:name="_Toc9377_WPSOffice_Level2"/>
      <w:bookmarkStart w:id="71" w:name="_Toc19961_WPSOffice_Level2"/>
      <w:bookmarkStart w:id="72" w:name="_Toc1820_WPSOffice_Level2"/>
      <w:r>
        <w:rPr>
          <w:rFonts w:hint="eastAsia" w:ascii="黑体" w:hAnsi="黑体" w:eastAsia="黑体" w:cs="黑体"/>
          <w:sz w:val="32"/>
          <w:szCs w:val="32"/>
        </w:rPr>
        <w:t>九、财政拨款“三公”经费支出决算</w:t>
      </w:r>
      <w:bookmarkEnd w:id="69"/>
      <w:bookmarkEnd w:id="70"/>
      <w:bookmarkEnd w:id="71"/>
      <w:bookmarkEnd w:id="72"/>
      <w:r>
        <w:rPr>
          <w:rFonts w:hint="eastAsia" w:ascii="黑体" w:hAnsi="黑体" w:eastAsia="黑体" w:cs="黑体"/>
          <w:sz w:val="32"/>
          <w:szCs w:val="32"/>
        </w:rPr>
        <w:t>公开表</w:t>
      </w:r>
    </w:p>
    <w:p>
      <w:pPr>
        <w:spacing w:line="578" w:lineRule="exact"/>
        <w:ind w:firstLine="640"/>
        <w:rPr>
          <w:rFonts w:hint="eastAsia" w:ascii="仿宋" w:hAnsi="仿宋" w:eastAsia="仿宋" w:cs="仿宋"/>
          <w:w w:val="100"/>
          <w:sz w:val="32"/>
          <w:szCs w:val="32"/>
        </w:rPr>
      </w:pPr>
      <w:r>
        <w:rPr>
          <w:rFonts w:hint="eastAsia" w:ascii="仿宋" w:hAnsi="仿宋" w:eastAsia="仿宋" w:cs="仿宋"/>
          <w:w w:val="100"/>
          <w:sz w:val="32"/>
          <w:szCs w:val="32"/>
        </w:rPr>
        <w:t xml:space="preserve">以上报表见附件1。   </w:t>
      </w:r>
    </w:p>
    <w:p>
      <w:pPr>
        <w:spacing w:line="578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78" w:lineRule="exact"/>
        <w:jc w:val="center"/>
        <w:rPr>
          <w:rFonts w:hint="eastAsia" w:ascii="黑体" w:hAnsi="ˎ̥" w:eastAsia="黑体"/>
          <w:sz w:val="32"/>
          <w:szCs w:val="32"/>
        </w:rPr>
      </w:pPr>
      <w:bookmarkStart w:id="73" w:name="_Toc28629_WPSOffice_Level1"/>
      <w:bookmarkStart w:id="74" w:name="_Toc31264_WPSOffice_Level1"/>
      <w:bookmarkStart w:id="75" w:name="_Toc27590_WPSOffice_Level1"/>
      <w:bookmarkStart w:id="76" w:name="_Toc4402_WPSOffice_Level1"/>
      <w:bookmarkStart w:id="77" w:name="_Toc16686_WPSOffice_Level1"/>
      <w:bookmarkStart w:id="78" w:name="_Toc29683_WPSOffice_Level1"/>
      <w:r>
        <w:rPr>
          <w:rFonts w:hint="eastAsia" w:ascii="黑体" w:hAnsi="ˎ̥" w:eastAsia="黑体"/>
          <w:sz w:val="32"/>
          <w:szCs w:val="32"/>
        </w:rPr>
        <w:t xml:space="preserve">第三部分  </w:t>
      </w:r>
      <w:r>
        <w:rPr>
          <w:rFonts w:hint="default" w:ascii="黑体" w:hAnsi="ˎ̥" w:eastAsia="黑体"/>
          <w:sz w:val="32"/>
          <w:szCs w:val="32"/>
          <w:lang w:val="en-US"/>
        </w:rPr>
        <w:t>2024</w:t>
      </w:r>
      <w:r>
        <w:rPr>
          <w:rFonts w:hint="eastAsia" w:ascii="黑体" w:hAnsi="ˎ̥" w:eastAsia="黑体"/>
          <w:sz w:val="32"/>
          <w:szCs w:val="32"/>
        </w:rPr>
        <w:t>年度部门决算情况说明</w:t>
      </w:r>
      <w:bookmarkEnd w:id="73"/>
      <w:bookmarkEnd w:id="74"/>
      <w:bookmarkEnd w:id="75"/>
      <w:bookmarkEnd w:id="76"/>
      <w:bookmarkEnd w:id="77"/>
      <w:bookmarkEnd w:id="78"/>
    </w:p>
    <w:p>
      <w:pPr>
        <w:spacing w:line="578" w:lineRule="exact"/>
        <w:jc w:val="center"/>
        <w:rPr>
          <w:rFonts w:hint="eastAsia" w:ascii="黑体" w:hAnsi="ˎ̥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ˎ̥" w:eastAsia="仿宋_GB2312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一、收入支出总体情况说明</w:t>
      </w:r>
      <w:r>
        <w:rPr>
          <w:rFonts w:hint="eastAsia" w:ascii="黑体" w:hAnsi="黑体" w:eastAsia="黑体" w:cs="黑体"/>
          <w:bCs/>
          <w:sz w:val="32"/>
          <w:szCs w:val="32"/>
        </w:rPr>
        <w:br w:type="textWrapping"/>
      </w:r>
      <w:r>
        <w:rPr>
          <w:rFonts w:hint="eastAsia" w:ascii="楷体_GB2312" w:hAnsi="ˎ̥" w:eastAsia="楷体_GB2312"/>
          <w:sz w:val="32"/>
          <w:szCs w:val="32"/>
        </w:rPr>
        <w:t xml:space="preserve">    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年度收入总计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万元，支出总计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万元，与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年度相比，收入、支出总计各增加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24.87</w:t>
      </w:r>
      <w:r>
        <w:rPr>
          <w:rFonts w:hint="eastAsia" w:ascii="仿宋_GB2312" w:hAnsi="ˎ̥" w:eastAsia="仿宋_GB2312"/>
          <w:sz w:val="32"/>
          <w:szCs w:val="32"/>
        </w:rPr>
        <w:t>万元，增长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1.31</w:t>
      </w:r>
      <w:r>
        <w:rPr>
          <w:rFonts w:hint="eastAsia" w:ascii="仿宋_GB2312" w:hAnsi="ˎ̥" w:eastAsia="仿宋_GB2312"/>
          <w:sz w:val="32"/>
          <w:szCs w:val="32"/>
        </w:rPr>
        <w:t>%。主要原因：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人员增加</w:t>
      </w:r>
      <w:r>
        <w:rPr>
          <w:rFonts w:hint="eastAsia" w:ascii="仿宋_GB2312" w:hAnsi="ˎ̥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</w:t>
      </w:r>
      <w:r>
        <w:rPr>
          <w:rFonts w:ascii="楷体" w:hAnsi="楷体" w:eastAsia="楷体" w:cs="楷体"/>
          <w:sz w:val="32"/>
          <w:szCs w:val="32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收入</w:t>
      </w:r>
      <w:r>
        <w:rPr>
          <w:rFonts w:ascii="楷体" w:hAnsi="楷体" w:eastAsia="楷体" w:cs="楷体"/>
          <w:sz w:val="32"/>
          <w:szCs w:val="32"/>
        </w:rPr>
        <w:t>总计</w:t>
      </w:r>
      <w:r>
        <w:rPr>
          <w:rFonts w:hint="eastAsia" w:ascii="楷体" w:hAnsi="楷体" w:eastAsia="楷体" w:cs="楷体"/>
          <w:sz w:val="32"/>
          <w:szCs w:val="32"/>
        </w:rPr>
        <w:t>主要</w:t>
      </w:r>
      <w:r>
        <w:rPr>
          <w:rFonts w:ascii="楷体" w:hAnsi="楷体" w:eastAsia="楷体" w:cs="楷体"/>
          <w:sz w:val="32"/>
          <w:szCs w:val="32"/>
        </w:rPr>
        <w:t>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本年</w:t>
      </w:r>
      <w:r>
        <w:rPr>
          <w:rFonts w:ascii="仿宋_GB2312" w:hAnsi="ˎ̥" w:eastAsia="仿宋_GB2312"/>
          <w:sz w:val="32"/>
          <w:szCs w:val="32"/>
        </w:rPr>
        <w:t>收入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使用非财政拨款结余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万元，较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年度决算数增加（减少）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年初结转结余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万元，较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</w:t>
      </w:r>
      <w:bookmarkStart w:id="115" w:name="_GoBack"/>
      <w:bookmarkEnd w:id="115"/>
      <w:r>
        <w:rPr>
          <w:rFonts w:hint="eastAsia" w:ascii="仿宋_GB2312" w:hAnsi="ˎ̥" w:eastAsia="仿宋_GB2312"/>
          <w:sz w:val="32"/>
          <w:szCs w:val="32"/>
        </w:rPr>
        <w:t>度决算数增加（减少）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万元，增长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（二</w:t>
      </w:r>
      <w:r>
        <w:rPr>
          <w:rFonts w:ascii="楷体" w:hAnsi="楷体" w:eastAsia="楷体" w:cs="楷体"/>
          <w:sz w:val="32"/>
          <w:szCs w:val="32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支出</w:t>
      </w:r>
      <w:r>
        <w:rPr>
          <w:rFonts w:ascii="楷体" w:hAnsi="楷体" w:eastAsia="楷体" w:cs="楷体"/>
          <w:sz w:val="32"/>
          <w:szCs w:val="32"/>
        </w:rPr>
        <w:t>总计</w:t>
      </w:r>
      <w:r>
        <w:rPr>
          <w:rFonts w:hint="eastAsia" w:ascii="楷体" w:hAnsi="楷体" w:eastAsia="楷体" w:cs="楷体"/>
          <w:sz w:val="32"/>
          <w:szCs w:val="32"/>
        </w:rPr>
        <w:t>主要</w:t>
      </w:r>
      <w:r>
        <w:rPr>
          <w:rFonts w:ascii="楷体" w:hAnsi="楷体" w:eastAsia="楷体" w:cs="楷体"/>
          <w:sz w:val="32"/>
          <w:szCs w:val="32"/>
        </w:rPr>
        <w:t>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本年支出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结余分配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ˎ̥" w:eastAsia="仿宋_GB2312"/>
          <w:sz w:val="32"/>
          <w:szCs w:val="32"/>
        </w:rPr>
        <w:t>较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年度决算数增加（减少）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万元，增长（下降）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年末结转结余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万元，较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年度决算数增加（减少）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万元，增长（下降）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二、收入决算情况说明</w:t>
      </w:r>
      <w:r>
        <w:rPr>
          <w:rFonts w:hint="eastAsia" w:ascii="黑体" w:hAnsi="黑体" w:eastAsia="黑体" w:cs="黑体"/>
          <w:bCs/>
          <w:sz w:val="32"/>
          <w:szCs w:val="32"/>
        </w:rPr>
        <w:br w:type="textWrapping"/>
      </w:r>
      <w:r>
        <w:rPr>
          <w:rFonts w:hint="eastAsia" w:ascii="仿宋_GB2312" w:hAnsi="ˎ̥" w:eastAsia="仿宋_GB2312"/>
          <w:sz w:val="32"/>
          <w:szCs w:val="32"/>
        </w:rPr>
        <w:t xml:space="preserve">    本年收入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万元，其中：财政拨款收入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100</w:t>
      </w:r>
      <w:r>
        <w:rPr>
          <w:rFonts w:hint="eastAsia" w:ascii="仿宋_GB2312" w:hAnsi="ˎ̥" w:eastAsia="仿宋_GB2312"/>
          <w:sz w:val="32"/>
          <w:szCs w:val="32"/>
        </w:rPr>
        <w:t>%；上级补助收入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%；事业收入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%；经营收入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%；附属单位上缴收入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%；其他收入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7" w:firstLineChars="196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本年支出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万元，其中：基本支出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1,357.10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70.76</w:t>
      </w:r>
      <w:r>
        <w:rPr>
          <w:rFonts w:hint="eastAsia" w:ascii="仿宋_GB2312" w:hAnsi="ˎ̥" w:eastAsia="仿宋_GB2312"/>
          <w:sz w:val="32"/>
          <w:szCs w:val="32"/>
        </w:rPr>
        <w:t>%；项目支出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560.85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29.24</w:t>
      </w:r>
      <w:r>
        <w:rPr>
          <w:rFonts w:hint="eastAsia" w:ascii="仿宋_GB2312" w:hAnsi="ˎ̥" w:eastAsia="仿宋_GB2312"/>
          <w:sz w:val="32"/>
          <w:szCs w:val="32"/>
        </w:rPr>
        <w:t>%；上缴上级支出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%；经营支出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%；对附属单位补助支出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7" w:firstLineChars="196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四、财政拨款收入支出决算总体情况说明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年度财政拨款收入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万元，支出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万元。与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年度相比，财政拨款收入增加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24.87</w:t>
      </w:r>
      <w:r>
        <w:rPr>
          <w:rFonts w:hint="eastAsia" w:ascii="仿宋_GB2312" w:hAnsi="ˎ̥" w:eastAsia="仿宋_GB2312"/>
          <w:sz w:val="32"/>
          <w:szCs w:val="32"/>
        </w:rPr>
        <w:t>万元，增长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1.31</w:t>
      </w:r>
      <w:r>
        <w:rPr>
          <w:rFonts w:hint="eastAsia" w:ascii="仿宋_GB2312" w:hAnsi="ˎ̥" w:eastAsia="仿宋_GB2312"/>
          <w:sz w:val="32"/>
          <w:szCs w:val="32"/>
        </w:rPr>
        <w:t>%，主要原因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人员增加</w:t>
      </w:r>
      <w:r>
        <w:rPr>
          <w:rFonts w:hint="eastAsia" w:ascii="仿宋_GB2312" w:hAnsi="ˎ̥" w:eastAsia="仿宋_GB2312"/>
          <w:sz w:val="32"/>
          <w:szCs w:val="32"/>
        </w:rPr>
        <w:t>。支出增加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24.87</w:t>
      </w:r>
      <w:r>
        <w:rPr>
          <w:rFonts w:hint="eastAsia" w:ascii="仿宋_GB2312" w:hAnsi="ˎ̥" w:eastAsia="仿宋_GB2312"/>
          <w:sz w:val="32"/>
          <w:szCs w:val="32"/>
        </w:rPr>
        <w:t>万元，增长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1.31</w:t>
      </w:r>
      <w:r>
        <w:rPr>
          <w:rFonts w:hint="eastAsia" w:ascii="仿宋_GB2312" w:hAnsi="ˎ̥" w:eastAsia="仿宋_GB2312"/>
          <w:sz w:val="32"/>
          <w:szCs w:val="32"/>
        </w:rPr>
        <w:t>%，主要原因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人员增加</w:t>
      </w:r>
      <w:r>
        <w:rPr>
          <w:rFonts w:hint="eastAsia" w:ascii="仿宋_GB2312" w:hAnsi="ˎ̥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财政拨款年初结转结余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万元，较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年度决算数增加（减少）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万元，增长（下降）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财政拨款年末结转结余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万元，较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年度决算数增加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万元，增长%。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7" w:firstLineChars="196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五、一般公共预算财政拨款支出决算情况说明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bookmarkStart w:id="79" w:name="_Toc21737_WPSOffice_Level2"/>
      <w:bookmarkStart w:id="80" w:name="_Toc17398_WPSOffice_Level2"/>
      <w:bookmarkStart w:id="81" w:name="_Toc19665_WPSOffice_Level2"/>
      <w:bookmarkStart w:id="82" w:name="_Toc23005_WPSOffice_Level2"/>
      <w:bookmarkStart w:id="83" w:name="_Toc9989_WPSOffice_Level2"/>
      <w:bookmarkStart w:id="84" w:name="_Toc13694_WPSOffice_Level2"/>
      <w:r>
        <w:rPr>
          <w:rFonts w:hint="eastAsia" w:ascii="楷体" w:hAnsi="楷体" w:eastAsia="楷体" w:cs="楷体"/>
          <w:sz w:val="32"/>
          <w:szCs w:val="32"/>
        </w:rPr>
        <w:t>（一）一般公共预算财政拨款支出决算总体情况</w:t>
      </w:r>
      <w:bookmarkEnd w:id="79"/>
      <w:bookmarkEnd w:id="80"/>
      <w:bookmarkEnd w:id="81"/>
      <w:bookmarkEnd w:id="82"/>
      <w:bookmarkEnd w:id="83"/>
      <w:bookmarkEnd w:id="8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年度一般公共预算财政拨款支出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万元，占本年支出合计的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100</w:t>
      </w:r>
      <w:r>
        <w:rPr>
          <w:rFonts w:hint="eastAsia" w:ascii="仿宋_GB2312" w:hAnsi="ˎ̥" w:eastAsia="仿宋_GB2312"/>
          <w:sz w:val="32"/>
          <w:szCs w:val="32"/>
        </w:rPr>
        <w:t>%。与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年度相比，一般公共预算财政拨款支出</w:t>
      </w:r>
      <w:bookmarkStart w:id="85" w:name="_Toc19535_WPSOffice_Level2"/>
      <w:bookmarkStart w:id="86" w:name="_Toc27767_WPSOffice_Level2"/>
      <w:bookmarkStart w:id="87" w:name="_Toc19075_WPSOffice_Level2"/>
      <w:bookmarkStart w:id="88" w:name="_Toc2711_WPSOffice_Level2"/>
      <w:bookmarkStart w:id="89" w:name="_Toc23864_WPSOffice_Level2"/>
      <w:bookmarkStart w:id="90" w:name="_Toc18793_WPSOffice_Level2"/>
      <w:r>
        <w:rPr>
          <w:rFonts w:hint="eastAsia" w:ascii="仿宋_GB2312" w:hAnsi="ˎ̥" w:eastAsia="仿宋_GB2312"/>
          <w:sz w:val="32"/>
          <w:szCs w:val="32"/>
        </w:rPr>
        <w:t>增加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24.87</w:t>
      </w:r>
      <w:r>
        <w:rPr>
          <w:rFonts w:hint="eastAsia" w:ascii="仿宋_GB2312" w:hAnsi="ˎ̥" w:eastAsia="仿宋_GB2312"/>
          <w:sz w:val="32"/>
          <w:szCs w:val="32"/>
        </w:rPr>
        <w:t>万元，增长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1.31</w:t>
      </w:r>
      <w:r>
        <w:rPr>
          <w:rFonts w:hint="eastAsia" w:ascii="仿宋_GB2312" w:hAnsi="ˎ̥" w:eastAsia="仿宋_GB2312"/>
          <w:sz w:val="32"/>
          <w:szCs w:val="32"/>
        </w:rPr>
        <w:t>%，主要原因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人员增加</w:t>
      </w:r>
      <w:r>
        <w:rPr>
          <w:rFonts w:hint="eastAsia" w:ascii="仿宋_GB2312" w:hAnsi="ˎ̥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（二）一般公共预算财政拨款支出决算结构情况</w:t>
      </w:r>
      <w:bookmarkEnd w:id="85"/>
      <w:bookmarkEnd w:id="86"/>
      <w:bookmarkEnd w:id="87"/>
      <w:bookmarkEnd w:id="88"/>
      <w:bookmarkEnd w:id="89"/>
      <w:bookmarkEnd w:id="9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年度一般公共预算财政拨款支出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万元，主要用于以下方面：</w:t>
      </w:r>
      <w:r>
        <w:rPr>
          <w:rFonts w:hint="eastAsia" w:ascii="仿宋_GB2312" w:hAnsi="ˎ̥" w:eastAsia="仿宋_GB2312"/>
          <w:b/>
          <w:sz w:val="32"/>
          <w:szCs w:val="32"/>
        </w:rPr>
        <w:t>一般公共服务（类）</w:t>
      </w:r>
      <w:r>
        <w:rPr>
          <w:rFonts w:hint="eastAsia" w:ascii="仿宋_GB2312" w:hAnsi="ˎ̥" w:eastAsia="仿宋_GB2312"/>
          <w:sz w:val="32"/>
          <w:szCs w:val="32"/>
        </w:rPr>
        <w:t>支出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1472.91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76.8</w:t>
      </w:r>
      <w:r>
        <w:rPr>
          <w:rFonts w:hint="eastAsia" w:ascii="仿宋_GB2312" w:hAnsi="ˎ̥" w:eastAsia="仿宋_GB2312"/>
          <w:sz w:val="32"/>
          <w:szCs w:val="32"/>
        </w:rPr>
        <w:t>%；……</w:t>
      </w:r>
      <w:r>
        <w:rPr>
          <w:rFonts w:hint="eastAsia" w:ascii="仿宋_GB2312" w:hAnsi="ˎ̥" w:eastAsia="仿宋_GB2312"/>
          <w:b/>
          <w:sz w:val="32"/>
          <w:szCs w:val="32"/>
        </w:rPr>
        <w:t>社会保障和就业（类）</w:t>
      </w:r>
      <w:r>
        <w:rPr>
          <w:rFonts w:hint="eastAsia" w:ascii="仿宋_GB2312" w:hAnsi="ˎ̥" w:eastAsia="仿宋_GB2312"/>
          <w:sz w:val="32"/>
          <w:szCs w:val="32"/>
        </w:rPr>
        <w:t>支出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256.29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13.36</w:t>
      </w:r>
      <w:r>
        <w:rPr>
          <w:rFonts w:hint="eastAsia" w:ascii="仿宋_GB2312" w:hAnsi="ˎ̥" w:eastAsia="仿宋_GB2312"/>
          <w:sz w:val="32"/>
          <w:szCs w:val="32"/>
        </w:rPr>
        <w:t>%；</w:t>
      </w:r>
      <w:r>
        <w:rPr>
          <w:rFonts w:hint="eastAsia" w:ascii="仿宋_GB2312" w:hAnsi="ˎ̥" w:eastAsia="仿宋_GB2312"/>
          <w:b/>
          <w:bCs/>
          <w:sz w:val="32"/>
          <w:szCs w:val="32"/>
        </w:rPr>
        <w:t>住房保障（类）</w:t>
      </w:r>
      <w:r>
        <w:rPr>
          <w:rFonts w:hint="eastAsia" w:ascii="仿宋_GB2312" w:hAnsi="ˎ̥" w:eastAsia="仿宋_GB2312"/>
          <w:sz w:val="32"/>
          <w:szCs w:val="32"/>
        </w:rPr>
        <w:t>支出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94.19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4.91</w:t>
      </w:r>
      <w:r>
        <w:rPr>
          <w:rFonts w:hint="eastAsia" w:ascii="仿宋_GB2312" w:hAnsi="ˎ̥" w:eastAsia="仿宋_GB2312"/>
          <w:sz w:val="32"/>
          <w:szCs w:val="32"/>
        </w:rPr>
        <w:t>%；……。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bookmarkStart w:id="91" w:name="_Toc15415_WPSOffice_Level2"/>
      <w:bookmarkStart w:id="92" w:name="_Toc25136_WPSOffice_Level2"/>
      <w:bookmarkStart w:id="93" w:name="_Toc21701_WPSOffice_Level2"/>
      <w:bookmarkStart w:id="94" w:name="_Toc29364_WPSOffice_Level2"/>
      <w:bookmarkStart w:id="95" w:name="_Toc22318_WPSOffice_Level2"/>
      <w:bookmarkStart w:id="96" w:name="_Toc9502_WPSOffice_Level2"/>
      <w:r>
        <w:rPr>
          <w:rFonts w:hint="eastAsia" w:ascii="楷体" w:hAnsi="楷体" w:eastAsia="楷体" w:cs="楷体"/>
          <w:sz w:val="32"/>
          <w:szCs w:val="32"/>
        </w:rPr>
        <w:t>（三）一般公共预算财政拨款支出决算具体情况</w:t>
      </w:r>
      <w:bookmarkEnd w:id="91"/>
      <w:bookmarkEnd w:id="92"/>
      <w:bookmarkEnd w:id="93"/>
      <w:bookmarkEnd w:id="94"/>
      <w:bookmarkEnd w:id="95"/>
      <w:bookmarkEnd w:id="9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年度一般公共预算财政拨款支出年初预算为1,666.05万元，支出决算为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1,917.94</w:t>
      </w:r>
      <w:r>
        <w:rPr>
          <w:rFonts w:hint="eastAsia" w:ascii="仿宋_GB2312" w:hAnsi="ˎ̥" w:eastAsia="仿宋_GB2312"/>
          <w:sz w:val="32"/>
          <w:szCs w:val="32"/>
        </w:rPr>
        <w:t>万元，完成年初预算的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115.12</w:t>
      </w:r>
      <w:r>
        <w:rPr>
          <w:rFonts w:hint="eastAsia" w:ascii="仿宋_GB2312" w:hAnsi="ˎ̥" w:eastAsia="仿宋_GB2312"/>
          <w:sz w:val="32"/>
          <w:szCs w:val="32"/>
        </w:rPr>
        <w:t>%。其中：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b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1.</w:t>
      </w:r>
      <w:r>
        <w:rPr>
          <w:rFonts w:hint="eastAsia" w:ascii="仿宋_GB2312" w:hAnsi="ˎ̥" w:eastAsia="仿宋_GB2312"/>
          <w:b/>
          <w:sz w:val="32"/>
          <w:szCs w:val="32"/>
        </w:rPr>
        <w:t>一般公共服务（类）人大事务（款）行政运行（项）。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年初预算为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1247.98</w:t>
      </w:r>
      <w:r>
        <w:rPr>
          <w:rFonts w:hint="eastAsia" w:ascii="仿宋_GB2312" w:hAnsi="ˎ̥" w:eastAsia="仿宋_GB2312"/>
          <w:sz w:val="32"/>
          <w:szCs w:val="32"/>
        </w:rPr>
        <w:t>万元，支出决算为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1472.91</w:t>
      </w:r>
      <w:r>
        <w:rPr>
          <w:rFonts w:hint="eastAsia" w:ascii="仿宋_GB2312" w:hAnsi="ˎ̥" w:eastAsia="仿宋_GB2312"/>
          <w:sz w:val="32"/>
          <w:szCs w:val="32"/>
        </w:rPr>
        <w:t>万元，完成年初预算的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118.02</w:t>
      </w:r>
      <w:r>
        <w:rPr>
          <w:rFonts w:hint="eastAsia" w:ascii="仿宋_GB2312" w:hAnsi="ˎ̥" w:eastAsia="仿宋_GB2312"/>
          <w:sz w:val="32"/>
          <w:szCs w:val="32"/>
        </w:rPr>
        <w:t>%。决算数大于预算数的主要原因：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人员增加</w:t>
      </w:r>
      <w:r>
        <w:rPr>
          <w:rFonts w:hint="eastAsia" w:ascii="仿宋_GB2312" w:hAnsi="ˎ̥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7" w:firstLineChars="196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tabs>
          <w:tab w:val="center" w:pos="44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年度财政拨款基本支出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/>
        </w:rPr>
        <w:t>1,357.10</w:t>
      </w:r>
      <w:r>
        <w:rPr>
          <w:rFonts w:hint="eastAsia" w:ascii="仿宋_GB2312" w:hAnsi="ˎ̥" w:eastAsia="仿宋_GB2312"/>
          <w:sz w:val="32"/>
          <w:szCs w:val="32"/>
        </w:rPr>
        <w:t>万元，其中：人员经费</w:t>
      </w:r>
      <w:r>
        <w:rPr>
          <w:rFonts w:ascii="仿宋_GB2312" w:hAnsi="ˎ̥" w:eastAsia="仿宋_GB2312"/>
          <w:color w:val="FF0000"/>
          <w:sz w:val="32"/>
          <w:szCs w:val="32"/>
          <w:lang w:val="en-US"/>
        </w:rPr>
        <w:t>1,268.05</w:t>
      </w:r>
      <w:r>
        <w:rPr>
          <w:rFonts w:hint="eastAsia" w:ascii="仿宋_GB2312" w:hAnsi="ˎ̥" w:eastAsia="仿宋_GB2312"/>
          <w:sz w:val="32"/>
          <w:szCs w:val="32"/>
        </w:rPr>
        <w:t>万元，主要包括：工资福利支出中的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；对个人和家庭的补助中的离休费、退休费、退职（役）费、抚恤金、生活补助、救济费、医疗费补助、助学金、奖励金、个人农业生产补贴、代缴社会保险费、其他对个人和家庭的补助。公用经费</w:t>
      </w:r>
      <w:r>
        <w:rPr>
          <w:rFonts w:ascii="仿宋_GB2312" w:hAnsi="ˎ̥" w:eastAsia="仿宋_GB2312"/>
          <w:color w:val="FF0000"/>
          <w:sz w:val="32"/>
          <w:szCs w:val="32"/>
          <w:lang w:val="en-US"/>
        </w:rPr>
        <w:t>89.05</w:t>
      </w:r>
      <w:r>
        <w:rPr>
          <w:rFonts w:hint="eastAsia" w:ascii="仿宋_GB2312" w:hAnsi="ˎ̥" w:eastAsia="仿宋_GB2312"/>
          <w:sz w:val="32"/>
          <w:szCs w:val="32"/>
        </w:rPr>
        <w:t>万元，主要包括：商品和服务支出中的办公费、印刷费、咨询费、手续费、水费、电费、邮电费、取暖费、物业管理费、差旅费、因公出国（境）费用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；债务利息及费用支出中的国内债务付息及国外债务付息；资本性支出中的房屋建筑物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购</w:t>
      </w:r>
      <w:r>
        <w:rPr>
          <w:rFonts w:hint="eastAsia" w:ascii="仿宋_GB2312" w:hAnsi="ˎ̥" w:eastAsia="仿宋_GB2312"/>
          <w:sz w:val="32"/>
          <w:szCs w:val="32"/>
        </w:rPr>
        <w:t>建、办公设备购置、专用设备购置、基础设施建设、大型修缮、信息网络及软件购置更新、物资储备、土地补偿、安置补助、地上附着物和青苗补偿、拆迁补偿、公务用车购置、其他交通工具购置、文物和陈列品购置、无形资产购置、其他资本性支出等；其他支出中的赠予、国家赔偿费用支出、对民间非营利组织和群众性自治组织补贴和其他支出。</w:t>
      </w:r>
    </w:p>
    <w:p>
      <w:pPr>
        <w:keepNext w:val="0"/>
        <w:keepLines w:val="0"/>
        <w:pageBreakBefore w:val="0"/>
        <w:widowControl w:val="0"/>
        <w:tabs>
          <w:tab w:val="center" w:pos="44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7" w:firstLineChars="196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七、政府性基金预算财政拨款支出决算情况说明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  <w:lang w:eastAsia="zh-CN"/>
        </w:rPr>
      </w:pP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本单位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未涉及</w:t>
      </w:r>
      <w:r>
        <w:rPr>
          <w:rFonts w:hint="eastAsia" w:ascii="仿宋_GB2312" w:hAnsi="ˎ̥" w:eastAsia="仿宋_GB2312"/>
          <w:sz w:val="32"/>
          <w:szCs w:val="32"/>
        </w:rPr>
        <w:t>政府性基金预算财政拨款支出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center" w:pos="44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7" w:firstLineChars="196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八、国有资本经营预算财政拨款支出决算情况说明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  <w:lang w:eastAsia="zh-CN"/>
        </w:rPr>
      </w:pP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本单位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未涉及</w:t>
      </w:r>
      <w:r>
        <w:rPr>
          <w:rFonts w:hint="eastAsia" w:ascii="仿宋_GB2312" w:hAnsi="ˎ̥" w:eastAsia="仿宋_GB2312"/>
          <w:sz w:val="32"/>
          <w:szCs w:val="32"/>
        </w:rPr>
        <w:t>国有资本经营预算财政拨款支出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7" w:firstLineChars="196"/>
        <w:textAlignment w:val="auto"/>
        <w:rPr>
          <w:rFonts w:hint="eastAsia" w:ascii="仿宋_GB2312" w:hAnsi="ˎ̥" w:eastAsia="楷体_GB2312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九、财政拨款“三公”经费支出决算情况说明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（一）财政拨款“三公”经费支出决算总体情况说明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 xml:space="preserve">    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年度财政拨款“三公”经费支出预算为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186.45</w:t>
      </w:r>
      <w:r>
        <w:rPr>
          <w:rFonts w:hint="eastAsia" w:ascii="仿宋_GB2312" w:hAnsi="ˎ̥" w:eastAsia="仿宋_GB2312"/>
          <w:sz w:val="32"/>
          <w:szCs w:val="32"/>
        </w:rPr>
        <w:t>万元，支出决算为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186.45</w:t>
      </w:r>
      <w:r>
        <w:rPr>
          <w:rFonts w:hint="eastAsia" w:ascii="仿宋_GB2312" w:hAnsi="ˎ̥" w:eastAsia="仿宋_GB2312"/>
          <w:sz w:val="32"/>
          <w:szCs w:val="32"/>
        </w:rPr>
        <w:t>万元，完成预算的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100</w:t>
      </w:r>
      <w:r>
        <w:rPr>
          <w:rFonts w:hint="eastAsia" w:ascii="仿宋_GB2312" w:hAnsi="ˎ̥" w:eastAsia="仿宋_GB2312"/>
          <w:sz w:val="32"/>
          <w:szCs w:val="32"/>
        </w:rPr>
        <w:t>%，</w:t>
      </w:r>
      <w:r>
        <w:rPr>
          <w:rFonts w:ascii="仿宋_GB2312" w:hAnsi="ˎ̥" w:eastAsia="仿宋_GB2312"/>
          <w:sz w:val="32"/>
          <w:szCs w:val="32"/>
        </w:rPr>
        <w:t>与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年度</w:t>
      </w:r>
      <w:r>
        <w:rPr>
          <w:rFonts w:ascii="仿宋_GB2312" w:hAnsi="ˎ̥" w:eastAsia="仿宋_GB2312"/>
          <w:sz w:val="32"/>
          <w:szCs w:val="32"/>
        </w:rPr>
        <w:t>相比，</w:t>
      </w:r>
      <w:r>
        <w:rPr>
          <w:rFonts w:hint="eastAsia" w:ascii="仿宋_GB2312" w:hAnsi="ˎ̥" w:eastAsia="仿宋_GB2312"/>
          <w:sz w:val="32"/>
          <w:szCs w:val="32"/>
        </w:rPr>
        <w:t>“三公”经费支出增加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37.45</w:t>
      </w:r>
      <w:r>
        <w:rPr>
          <w:rFonts w:hint="eastAsia" w:ascii="仿宋_GB2312" w:hAnsi="ˎ̥" w:eastAsia="仿宋_GB2312"/>
          <w:sz w:val="32"/>
          <w:szCs w:val="32"/>
        </w:rPr>
        <w:t>万元</w:t>
      </w:r>
      <w:r>
        <w:rPr>
          <w:rFonts w:ascii="仿宋_GB2312" w:hAnsi="ˎ̥" w:eastAsia="仿宋_GB2312"/>
          <w:sz w:val="32"/>
          <w:szCs w:val="32"/>
        </w:rPr>
        <w:t>，增长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25.13</w:t>
      </w:r>
      <w:r>
        <w:rPr>
          <w:rFonts w:hint="eastAsia" w:ascii="仿宋_GB2312" w:hAnsi="ˎ̥" w:eastAsia="仿宋_GB2312"/>
          <w:sz w:val="32"/>
          <w:szCs w:val="32"/>
        </w:rPr>
        <w:t>%，</w:t>
      </w:r>
      <w:r>
        <w:rPr>
          <w:rFonts w:ascii="仿宋_GB2312" w:hAnsi="ˎ̥" w:eastAsia="仿宋_GB2312"/>
          <w:sz w:val="32"/>
          <w:szCs w:val="32"/>
        </w:rPr>
        <w:t>主要原因是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人员增加</w:t>
      </w:r>
      <w:r>
        <w:rPr>
          <w:rFonts w:hint="eastAsia" w:ascii="仿宋_GB2312" w:hAnsi="ˎ̥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</w:rPr>
        <w:t xml:space="preserve"> （二）财政拨款“三公”经费支出决算具体情况说明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年度财政拨款“三公”经费支出决算中，因公出国（境）费支出决算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%；公务用车购置及运行维护费支出决算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126.72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67.96</w:t>
      </w:r>
      <w:r>
        <w:rPr>
          <w:rFonts w:hint="eastAsia" w:ascii="仿宋_GB2312" w:hAnsi="ˎ̥" w:eastAsia="仿宋_GB2312"/>
          <w:sz w:val="32"/>
          <w:szCs w:val="32"/>
        </w:rPr>
        <w:t>%；公务接待费支出决算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59.73</w:t>
      </w:r>
      <w:r>
        <w:rPr>
          <w:rFonts w:hint="eastAsia" w:ascii="仿宋_GB2312" w:hAnsi="ˎ̥" w:eastAsia="仿宋_GB2312"/>
          <w:sz w:val="32"/>
          <w:szCs w:val="32"/>
        </w:rPr>
        <w:t>万元，占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32.04</w:t>
      </w:r>
      <w:r>
        <w:rPr>
          <w:rFonts w:hint="eastAsia" w:ascii="仿宋_GB2312" w:hAnsi="ˎ̥" w:eastAsia="仿宋_GB2312"/>
          <w:sz w:val="32"/>
          <w:szCs w:val="32"/>
        </w:rPr>
        <w:t>%。具体情况如下：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b/>
          <w:sz w:val="32"/>
          <w:szCs w:val="32"/>
        </w:rPr>
        <w:t>1.因公出国（境）费</w:t>
      </w:r>
      <w:r>
        <w:rPr>
          <w:rFonts w:hint="eastAsia" w:ascii="仿宋_GB2312" w:hAnsi="ˎ̥" w:eastAsia="仿宋_GB2312"/>
          <w:sz w:val="32"/>
          <w:szCs w:val="32"/>
        </w:rPr>
        <w:t>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b/>
          <w:sz w:val="32"/>
          <w:szCs w:val="32"/>
        </w:rPr>
        <w:t xml:space="preserve">    2.公务用车购置及运行维护费</w:t>
      </w:r>
      <w:r>
        <w:rPr>
          <w:rFonts w:hint="eastAsia" w:ascii="仿宋_GB2312" w:hAnsi="ˎ̥" w:eastAsia="仿宋_GB2312"/>
          <w:b w:val="0"/>
          <w:bCs/>
          <w:sz w:val="32"/>
          <w:szCs w:val="32"/>
        </w:rPr>
        <w:t>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126.72</w:t>
      </w:r>
      <w:r>
        <w:rPr>
          <w:rFonts w:hint="eastAsia" w:ascii="仿宋_GB2312" w:hAnsi="ˎ̥" w:eastAsia="仿宋_GB2312"/>
          <w:sz w:val="32"/>
          <w:szCs w:val="32"/>
        </w:rPr>
        <w:t>万元。其中：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b/>
          <w:sz w:val="32"/>
          <w:szCs w:val="32"/>
        </w:rPr>
        <w:t>公务用车购置</w:t>
      </w:r>
      <w:r>
        <w:rPr>
          <w:rFonts w:hint="eastAsia" w:ascii="仿宋_GB2312" w:hAnsi="ˎ̥" w:eastAsia="仿宋_GB2312"/>
          <w:b w:val="0"/>
          <w:bCs/>
          <w:sz w:val="32"/>
          <w:szCs w:val="32"/>
        </w:rPr>
        <w:t>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0.00</w:t>
      </w:r>
      <w:r>
        <w:rPr>
          <w:rFonts w:hint="eastAsia" w:ascii="仿宋_GB2312" w:hAnsi="ˎ̥" w:eastAsia="仿宋_GB2312"/>
          <w:sz w:val="32"/>
          <w:szCs w:val="32"/>
        </w:rPr>
        <w:t>万元，全年购置公务用车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辆，年末公务用车保有量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16</w:t>
      </w:r>
      <w:r>
        <w:rPr>
          <w:rFonts w:hint="eastAsia" w:ascii="仿宋_GB2312" w:hAnsi="ˎ̥" w:eastAsia="仿宋_GB2312"/>
          <w:sz w:val="32"/>
          <w:szCs w:val="32"/>
        </w:rPr>
        <w:t>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b/>
          <w:sz w:val="32"/>
          <w:szCs w:val="32"/>
        </w:rPr>
        <w:t>公务用车运行维护费</w:t>
      </w:r>
      <w:r>
        <w:rPr>
          <w:rFonts w:hint="eastAsia" w:ascii="仿宋_GB2312" w:hAnsi="ˎ̥" w:eastAsia="仿宋_GB2312"/>
          <w:sz w:val="32"/>
          <w:szCs w:val="32"/>
        </w:rPr>
        <w:t>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126.72</w:t>
      </w:r>
      <w:r>
        <w:rPr>
          <w:rFonts w:hint="eastAsia" w:ascii="仿宋_GB2312" w:hAnsi="ˎ̥" w:eastAsia="仿宋_GB2312"/>
          <w:sz w:val="32"/>
          <w:szCs w:val="32"/>
        </w:rPr>
        <w:t>万元，主要用于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油料支出</w:t>
      </w:r>
      <w:r>
        <w:rPr>
          <w:rFonts w:hint="eastAsia" w:ascii="仿宋_GB2312" w:hAnsi="ˎ̥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bCs/>
          <w:sz w:val="32"/>
          <w:szCs w:val="32"/>
        </w:rPr>
      </w:pPr>
      <w:r>
        <w:rPr>
          <w:rFonts w:hint="eastAsia" w:ascii="仿宋_GB2312" w:hAnsi="ˎ̥" w:eastAsia="仿宋_GB2312"/>
          <w:bCs/>
          <w:sz w:val="32"/>
          <w:szCs w:val="32"/>
        </w:rPr>
        <w:t>公务用车购置及运行维护费支出决算数</w:t>
      </w:r>
      <w:r>
        <w:rPr>
          <w:rFonts w:hint="eastAsia" w:ascii="仿宋_GB2312" w:hAnsi="ˎ̥" w:eastAsia="仿宋_GB2312"/>
          <w:sz w:val="32"/>
          <w:szCs w:val="32"/>
        </w:rPr>
        <w:t>比预算数增加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114.54</w:t>
      </w:r>
      <w:r>
        <w:rPr>
          <w:rFonts w:hint="eastAsia" w:ascii="仿宋_GB2312" w:hAnsi="ˎ̥" w:eastAsia="仿宋_GB2312"/>
          <w:sz w:val="32"/>
          <w:szCs w:val="32"/>
        </w:rPr>
        <w:t>万元，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完成预算的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1040.39</w:t>
      </w:r>
      <w:r>
        <w:rPr>
          <w:rFonts w:hint="eastAsia" w:ascii="仿宋_GB2312" w:hAnsi="ˎ̥" w:eastAsia="仿宋_GB2312"/>
          <w:sz w:val="32"/>
          <w:szCs w:val="32"/>
        </w:rPr>
        <w:t>%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ˎ̥" w:eastAsia="仿宋_GB2312"/>
          <w:sz w:val="32"/>
          <w:szCs w:val="32"/>
        </w:rPr>
        <w:t>与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年度</w:t>
      </w:r>
      <w:r>
        <w:rPr>
          <w:rFonts w:ascii="仿宋_GB2312" w:hAnsi="ˎ̥" w:eastAsia="仿宋_GB2312"/>
          <w:sz w:val="32"/>
          <w:szCs w:val="32"/>
        </w:rPr>
        <w:t>相比，</w:t>
      </w:r>
      <w:r>
        <w:rPr>
          <w:rFonts w:hint="eastAsia" w:ascii="仿宋_GB2312" w:hAnsi="ˎ̥" w:eastAsia="仿宋_GB2312"/>
          <w:bCs/>
          <w:sz w:val="32"/>
          <w:szCs w:val="32"/>
        </w:rPr>
        <w:t>公务用车购置及运行维护费</w:t>
      </w:r>
      <w:r>
        <w:rPr>
          <w:rFonts w:hint="eastAsia" w:ascii="仿宋_GB2312" w:hAnsi="ˎ̥" w:eastAsia="仿宋_GB2312"/>
          <w:sz w:val="32"/>
          <w:szCs w:val="32"/>
        </w:rPr>
        <w:t>支出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37.79</w:t>
      </w:r>
      <w:r>
        <w:rPr>
          <w:rFonts w:hint="eastAsia" w:ascii="仿宋_GB2312" w:hAnsi="ˎ̥" w:eastAsia="仿宋_GB2312"/>
          <w:sz w:val="32"/>
          <w:szCs w:val="32"/>
        </w:rPr>
        <w:t>万元</w:t>
      </w:r>
      <w:r>
        <w:rPr>
          <w:rFonts w:ascii="仿宋_GB2312" w:hAnsi="ˎ̥" w:eastAsia="仿宋_GB2312"/>
          <w:sz w:val="32"/>
          <w:szCs w:val="32"/>
        </w:rPr>
        <w:t>，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增长42.49</w:t>
      </w:r>
      <w:r>
        <w:rPr>
          <w:rFonts w:hint="eastAsia" w:ascii="仿宋_GB2312" w:hAnsi="ˎ̥" w:eastAsia="仿宋_GB2312"/>
          <w:sz w:val="32"/>
          <w:szCs w:val="32"/>
        </w:rPr>
        <w:t>%，主要原因是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人员增加</w:t>
      </w:r>
      <w:r>
        <w:rPr>
          <w:rFonts w:hint="eastAsia" w:ascii="仿宋_GB2312" w:hAnsi="ˎ̥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b/>
          <w:sz w:val="32"/>
          <w:szCs w:val="32"/>
        </w:rPr>
        <w:t xml:space="preserve">    3.公务接待费</w:t>
      </w:r>
      <w:r>
        <w:rPr>
          <w:rFonts w:hint="eastAsia" w:ascii="仿宋_GB2312" w:hAnsi="ˎ̥" w:eastAsia="仿宋_GB2312"/>
          <w:b w:val="0"/>
          <w:bCs/>
          <w:sz w:val="32"/>
          <w:szCs w:val="32"/>
        </w:rPr>
        <w:t>支出</w:t>
      </w:r>
      <w:r>
        <w:rPr>
          <w:rFonts w:hint="default" w:ascii="仿宋_GB2312" w:hAnsi="ˎ̥" w:eastAsia="仿宋_GB2312"/>
          <w:color w:val="FF0000"/>
          <w:sz w:val="32"/>
          <w:szCs w:val="32"/>
          <w:lang w:val="en-US"/>
        </w:rPr>
        <w:t>59.73</w:t>
      </w:r>
      <w:r>
        <w:rPr>
          <w:rFonts w:hint="eastAsia" w:ascii="仿宋_GB2312" w:hAnsi="ˎ̥" w:eastAsia="仿宋_GB2312"/>
          <w:sz w:val="32"/>
          <w:szCs w:val="32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b/>
          <w:sz w:val="32"/>
          <w:szCs w:val="32"/>
        </w:rPr>
        <w:t>国内接待费</w:t>
      </w:r>
      <w:r>
        <w:rPr>
          <w:rFonts w:hint="eastAsia" w:ascii="仿宋_GB2312" w:hAnsi="ˎ̥" w:eastAsia="仿宋_GB2312"/>
          <w:sz w:val="32"/>
          <w:szCs w:val="32"/>
        </w:rPr>
        <w:t>支出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59.73</w:t>
      </w:r>
      <w:r>
        <w:rPr>
          <w:rFonts w:hint="eastAsia" w:ascii="仿宋_GB2312" w:hAnsi="ˎ̥" w:eastAsia="仿宋_GB2312"/>
          <w:sz w:val="32"/>
          <w:szCs w:val="32"/>
        </w:rPr>
        <w:t>万元，国内公务接待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201</w:t>
      </w:r>
      <w:r>
        <w:rPr>
          <w:rFonts w:hint="eastAsia" w:ascii="仿宋_GB2312" w:hAnsi="ˎ̥" w:eastAsia="仿宋_GB2312"/>
          <w:sz w:val="32"/>
          <w:szCs w:val="32"/>
        </w:rPr>
        <w:t>批次，接待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1569</w:t>
      </w:r>
      <w:r>
        <w:rPr>
          <w:rFonts w:hint="eastAsia" w:ascii="仿宋_GB2312" w:hAnsi="ˎ̥" w:eastAsia="仿宋_GB2312"/>
          <w:sz w:val="32"/>
          <w:szCs w:val="32"/>
        </w:rPr>
        <w:t>人次；主要用于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人员食宿</w:t>
      </w:r>
      <w:r>
        <w:rPr>
          <w:rFonts w:hint="eastAsia" w:ascii="仿宋_GB2312" w:hAnsi="ˎ̥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b/>
          <w:bCs/>
          <w:sz w:val="32"/>
          <w:szCs w:val="32"/>
        </w:rPr>
        <w:t>国（境）外接待费</w:t>
      </w:r>
      <w:r>
        <w:rPr>
          <w:rFonts w:hint="eastAsia" w:ascii="仿宋_GB2312" w:hAnsi="ˎ̥" w:eastAsia="仿宋_GB2312"/>
          <w:sz w:val="32"/>
          <w:szCs w:val="32"/>
        </w:rPr>
        <w:t>支出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万元，国（境）外公务接待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批次，接待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公务接待费支出决算数比预算数减少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0.27</w:t>
      </w:r>
      <w:r>
        <w:rPr>
          <w:rFonts w:hint="eastAsia" w:ascii="仿宋_GB2312" w:hAnsi="ˎ̥" w:eastAsia="仿宋_GB2312"/>
          <w:sz w:val="32"/>
          <w:szCs w:val="32"/>
        </w:rPr>
        <w:t>万元，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完成预算的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99.55</w:t>
      </w:r>
      <w:r>
        <w:rPr>
          <w:rFonts w:hint="eastAsia" w:ascii="仿宋_GB2312" w:hAnsi="ˎ̥" w:eastAsia="仿宋_GB2312"/>
          <w:sz w:val="32"/>
          <w:szCs w:val="32"/>
        </w:rPr>
        <w:t>%。与</w:t>
      </w:r>
      <w:r>
        <w:rPr>
          <w:rFonts w:hint="default" w:ascii="仿宋_GB2312" w:hAnsi="ˎ̥" w:eastAsia="仿宋_GB2312"/>
          <w:sz w:val="32"/>
          <w:szCs w:val="32"/>
          <w:lang w:val="en-US"/>
        </w:rPr>
        <w:t>2023</w:t>
      </w:r>
      <w:r>
        <w:rPr>
          <w:rFonts w:hint="eastAsia" w:ascii="仿宋_GB2312" w:hAnsi="ˎ̥" w:eastAsia="仿宋_GB2312"/>
          <w:sz w:val="32"/>
          <w:szCs w:val="32"/>
        </w:rPr>
        <w:t>年度</w:t>
      </w:r>
      <w:r>
        <w:rPr>
          <w:rFonts w:ascii="仿宋_GB2312" w:hAnsi="ˎ̥" w:eastAsia="仿宋_GB2312"/>
          <w:sz w:val="32"/>
          <w:szCs w:val="32"/>
        </w:rPr>
        <w:t>相比，</w:t>
      </w:r>
      <w:r>
        <w:rPr>
          <w:rFonts w:hint="eastAsia" w:ascii="仿宋_GB2312" w:hAnsi="ˎ̥" w:eastAsia="仿宋_GB2312"/>
          <w:bCs/>
          <w:sz w:val="32"/>
          <w:szCs w:val="32"/>
        </w:rPr>
        <w:t>公务接待费</w:t>
      </w:r>
      <w:r>
        <w:rPr>
          <w:rFonts w:hint="eastAsia" w:ascii="仿宋_GB2312" w:hAnsi="ˎ̥" w:eastAsia="仿宋_GB2312"/>
          <w:sz w:val="32"/>
          <w:szCs w:val="32"/>
        </w:rPr>
        <w:t>支出减少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0.34</w:t>
      </w:r>
      <w:r>
        <w:rPr>
          <w:rFonts w:hint="eastAsia" w:ascii="仿宋_GB2312" w:hAnsi="ˎ̥" w:eastAsia="仿宋_GB2312"/>
          <w:sz w:val="32"/>
          <w:szCs w:val="32"/>
        </w:rPr>
        <w:t>万元</w:t>
      </w:r>
      <w:r>
        <w:rPr>
          <w:rFonts w:ascii="仿宋_GB2312" w:hAnsi="ˎ̥" w:eastAsia="仿宋_GB2312"/>
          <w:sz w:val="32"/>
          <w:szCs w:val="32"/>
        </w:rPr>
        <w:t>，</w:t>
      </w:r>
      <w:r>
        <w:rPr>
          <w:rFonts w:hint="eastAsia" w:ascii="仿宋_GB2312" w:hAnsi="ˎ̥" w:eastAsia="仿宋_GB2312"/>
          <w:sz w:val="32"/>
          <w:szCs w:val="32"/>
        </w:rPr>
        <w:t>下降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0.57</w:t>
      </w:r>
      <w:r>
        <w:rPr>
          <w:rFonts w:hint="eastAsia" w:ascii="仿宋_GB2312" w:hAnsi="ˎ̥" w:eastAsia="仿宋_GB2312"/>
          <w:sz w:val="32"/>
          <w:szCs w:val="32"/>
        </w:rPr>
        <w:t>%，主要原因是……。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十、预算绩效情况说明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（一）绩效管理工作开展情况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根据财政预算绩效管理要求，可按照如下格式说明：根据预算管理要求，我部门（单位）组织对</w:t>
      </w:r>
      <w:r>
        <w:rPr>
          <w:rFonts w:hint="default" w:ascii="仿宋_GB2312" w:eastAsia="仿宋_GB2312"/>
          <w:sz w:val="32"/>
          <w:szCs w:val="32"/>
          <w:lang w:val="en-US"/>
        </w:rPr>
        <w:t>2024</w:t>
      </w:r>
      <w:r>
        <w:rPr>
          <w:rFonts w:hint="eastAsia" w:ascii="仿宋_GB2312" w:eastAsia="仿宋_GB2312"/>
          <w:sz w:val="32"/>
          <w:szCs w:val="32"/>
        </w:rPr>
        <w:t>年度一般公共预算项目支出全面开展绩效自评</w:t>
      </w:r>
      <w:r>
        <w:rPr>
          <w:rFonts w:hint="default" w:ascii="仿宋_GB2312" w:eastAsia="仿宋_GB2312"/>
          <w:sz w:val="32"/>
          <w:szCs w:val="32"/>
          <w:lang w:val="en-US"/>
        </w:rPr>
        <w:t>,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共涉及资金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560.85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万元，占一般公共预算项目支出总额的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38.08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%</w:t>
      </w:r>
      <w:r>
        <w:rPr>
          <w:rFonts w:hint="eastAsia" w:ascii="仿宋_GB2312" w:eastAsia="仿宋_GB2312"/>
          <w:sz w:val="32"/>
          <w:szCs w:val="32"/>
        </w:rPr>
        <w:t>。共组织对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个项目开展了部门评价，</w:t>
      </w:r>
      <w:r>
        <w:rPr>
          <w:rFonts w:hint="eastAsia" w:ascii="仿宋_GB2312" w:eastAsia="仿宋_GB2312"/>
          <w:sz w:val="32"/>
          <w:szCs w:val="32"/>
          <w:lang w:bidi="ar"/>
        </w:rPr>
        <w:t>涉及一般公共预算支出</w:t>
      </w:r>
      <w:r>
        <w:rPr>
          <w:rFonts w:hint="eastAsia" w:ascii="仿宋_GB2312" w:eastAsia="仿宋_GB2312"/>
          <w:sz w:val="32"/>
          <w:szCs w:val="32"/>
          <w:lang w:val="en-US" w:eastAsia="zh-CN" w:bidi="ar"/>
        </w:rPr>
        <w:t>560.85</w:t>
      </w:r>
      <w:r>
        <w:rPr>
          <w:rFonts w:hint="eastAsia" w:ascii="仿宋_GB2312" w:eastAsia="仿宋_GB2312"/>
          <w:sz w:val="32"/>
          <w:szCs w:val="32"/>
          <w:lang w:bidi="ar"/>
        </w:rPr>
        <w:t>万元</w:t>
      </w:r>
      <w:r>
        <w:rPr>
          <w:rFonts w:hint="eastAsia" w:ascii="仿宋_GB2312" w:eastAsia="仿宋_GB2312"/>
          <w:sz w:val="32"/>
          <w:szCs w:val="32"/>
          <w:lang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十一、其他重要事项情况说明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楷体" w:hAnsi="楷体" w:eastAsia="楷体" w:cs="楷体"/>
          <w:bCs/>
          <w:sz w:val="32"/>
          <w:szCs w:val="32"/>
        </w:rPr>
      </w:pPr>
      <w:bookmarkStart w:id="97" w:name="_Toc15262_WPSOffice_Level2"/>
      <w:bookmarkStart w:id="98" w:name="_Toc5978_WPSOffice_Level2"/>
      <w:bookmarkStart w:id="99" w:name="_Toc32639_WPSOffice_Level2"/>
      <w:bookmarkStart w:id="100" w:name="_Toc15565_WPSOffice_Level2"/>
      <w:bookmarkStart w:id="101" w:name="_Toc23598_WPSOffice_Level2"/>
      <w:bookmarkStart w:id="102" w:name="_Toc18325_WPSOffice_Level2"/>
      <w:r>
        <w:rPr>
          <w:rFonts w:hint="eastAsia" w:ascii="楷体" w:hAnsi="楷体" w:eastAsia="楷体" w:cs="楷体"/>
          <w:bCs/>
          <w:sz w:val="32"/>
          <w:szCs w:val="32"/>
        </w:rPr>
        <w:t>（一）机关运行经费支出情况</w:t>
      </w:r>
      <w:bookmarkEnd w:id="97"/>
      <w:bookmarkEnd w:id="98"/>
      <w:bookmarkEnd w:id="99"/>
      <w:bookmarkEnd w:id="100"/>
      <w:bookmarkEnd w:id="101"/>
      <w:bookmarkEnd w:id="10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default" w:ascii="仿宋_GB2312" w:hAnsi="ˎ̥" w:eastAsia="仿宋_GB2312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sz w:val="32"/>
          <w:szCs w:val="32"/>
        </w:rPr>
        <w:t>年度</w:t>
      </w:r>
      <w:r>
        <w:rPr>
          <w:rFonts w:hint="eastAsia" w:ascii="仿宋_GB2312" w:hAnsi="ˎ̥" w:eastAsia="仿宋_GB2312"/>
          <w:color w:val="auto"/>
          <w:sz w:val="32"/>
          <w:szCs w:val="32"/>
          <w:lang w:val="en-US" w:eastAsia="zh-CN"/>
        </w:rPr>
        <w:t>我单位</w:t>
      </w:r>
      <w:r>
        <w:rPr>
          <w:rFonts w:hint="eastAsia" w:ascii="仿宋_GB2312" w:hAnsi="ˎ̥" w:eastAsia="仿宋_GB2312"/>
          <w:sz w:val="32"/>
          <w:szCs w:val="32"/>
        </w:rPr>
        <w:t>机关运行经费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89.05</w:t>
      </w:r>
      <w:r>
        <w:rPr>
          <w:rFonts w:hint="eastAsia" w:ascii="仿宋_GB2312" w:hAnsi="ˎ̥" w:eastAsia="仿宋_GB2312"/>
          <w:sz w:val="32"/>
          <w:szCs w:val="32"/>
        </w:rPr>
        <w:t>万元，比年初预算增加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40.33</w:t>
      </w:r>
      <w:r>
        <w:rPr>
          <w:rFonts w:hint="eastAsia" w:ascii="仿宋_GB2312" w:hAnsi="ˎ̥" w:eastAsia="仿宋_GB2312"/>
          <w:sz w:val="32"/>
          <w:szCs w:val="32"/>
        </w:rPr>
        <w:t>万元，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完成预算的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182.78</w:t>
      </w:r>
      <w:r>
        <w:rPr>
          <w:rFonts w:hint="eastAsia" w:ascii="仿宋_GB2312" w:hAnsi="ˎ̥" w:eastAsia="仿宋_GB2312"/>
          <w:sz w:val="32"/>
          <w:szCs w:val="32"/>
        </w:rPr>
        <w:t>%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与2023年度相比，机关运行经费</w:t>
      </w:r>
      <w:r>
        <w:rPr>
          <w:rFonts w:hint="eastAsia" w:ascii="仿宋_GB2312" w:hAnsi="ˎ̥" w:eastAsia="仿宋_GB2312"/>
          <w:sz w:val="32"/>
          <w:szCs w:val="32"/>
        </w:rPr>
        <w:t>增加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37.01</w:t>
      </w:r>
      <w:r>
        <w:rPr>
          <w:rFonts w:hint="eastAsia" w:ascii="仿宋_GB2312" w:hAnsi="ˎ̥" w:eastAsia="仿宋_GB2312"/>
          <w:sz w:val="32"/>
          <w:szCs w:val="32"/>
        </w:rPr>
        <w:t>万元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增长71.12%。</w:t>
      </w:r>
      <w:r>
        <w:rPr>
          <w:rFonts w:hint="eastAsia" w:ascii="仿宋_GB2312" w:hAnsi="ˎ̥" w:eastAsia="仿宋_GB2312"/>
          <w:sz w:val="32"/>
          <w:szCs w:val="32"/>
        </w:rPr>
        <w:t>主要原因是：</w:t>
      </w:r>
      <w:r>
        <w:rPr>
          <w:rFonts w:hint="eastAsia" w:ascii="仿宋_GB2312" w:hAnsi="ˎ̥" w:eastAsia="仿宋_GB2312"/>
          <w:sz w:val="32"/>
          <w:szCs w:val="32"/>
          <w:lang w:val="en-US" w:eastAsia="zh-CN" w:bidi="ar"/>
        </w:rPr>
        <w:t>人员增加</w:t>
      </w:r>
      <w:r>
        <w:rPr>
          <w:rFonts w:hint="eastAsia" w:ascii="仿宋_GB2312" w:hAnsi="ˎ̥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楷体" w:hAnsi="楷体" w:eastAsia="楷体" w:cs="楷体"/>
          <w:bCs/>
          <w:sz w:val="32"/>
          <w:szCs w:val="32"/>
        </w:rPr>
      </w:pPr>
      <w:bookmarkStart w:id="103" w:name="_Toc30383_WPSOffice_Level2"/>
      <w:bookmarkStart w:id="104" w:name="_Toc25333_WPSOffice_Level2"/>
      <w:bookmarkStart w:id="105" w:name="_Toc23966_WPSOffice_Level2"/>
      <w:bookmarkStart w:id="106" w:name="_Toc3131_WPSOffice_Level2"/>
      <w:bookmarkStart w:id="107" w:name="_Toc13084_WPSOffice_Level2"/>
      <w:bookmarkStart w:id="108" w:name="_Toc32689_WPSOffice_Level2"/>
      <w:r>
        <w:rPr>
          <w:rFonts w:hint="eastAsia" w:ascii="楷体" w:hAnsi="楷体" w:eastAsia="楷体" w:cs="楷体"/>
          <w:bCs/>
          <w:sz w:val="32"/>
          <w:szCs w:val="32"/>
        </w:rPr>
        <w:t>（二）政府采购支出情况</w:t>
      </w:r>
      <w:bookmarkEnd w:id="103"/>
      <w:bookmarkEnd w:id="104"/>
      <w:bookmarkEnd w:id="105"/>
      <w:bookmarkEnd w:id="106"/>
      <w:bookmarkEnd w:id="107"/>
      <w:bookmarkEnd w:id="10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default" w:ascii="仿宋_GB2312" w:hAnsi="ˎ̥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ˎ̥" w:eastAsia="仿宋_GB2312"/>
          <w:color w:val="auto"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color w:val="auto"/>
          <w:sz w:val="32"/>
          <w:szCs w:val="32"/>
        </w:rPr>
        <w:t>年度</w:t>
      </w:r>
      <w:r>
        <w:rPr>
          <w:rFonts w:hint="eastAsia" w:ascii="仿宋_GB2312" w:hAnsi="ˎ̥" w:eastAsia="仿宋_GB2312"/>
          <w:color w:val="auto"/>
          <w:sz w:val="32"/>
          <w:szCs w:val="32"/>
          <w:lang w:val="en-US" w:eastAsia="zh-CN"/>
        </w:rPr>
        <w:t>本单位不涉及政府采购。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楷体" w:hAnsi="楷体" w:eastAsia="楷体" w:cs="楷体"/>
          <w:bCs/>
          <w:sz w:val="32"/>
          <w:szCs w:val="32"/>
        </w:rPr>
      </w:pPr>
      <w:bookmarkStart w:id="109" w:name="_Toc6016_WPSOffice_Level2"/>
      <w:bookmarkStart w:id="110" w:name="_Toc527_WPSOffice_Level2"/>
      <w:bookmarkStart w:id="111" w:name="_Toc19989_WPSOffice_Level2"/>
      <w:bookmarkStart w:id="112" w:name="_Toc15129_WPSOffice_Level2"/>
      <w:bookmarkStart w:id="113" w:name="_Toc29584_WPSOffice_Level2"/>
      <w:bookmarkStart w:id="114" w:name="_Toc10902_WPSOffice_Level2"/>
      <w:r>
        <w:rPr>
          <w:rFonts w:hint="eastAsia" w:ascii="楷体" w:hAnsi="楷体" w:eastAsia="楷体" w:cs="楷体"/>
          <w:bCs/>
          <w:sz w:val="32"/>
          <w:szCs w:val="32"/>
        </w:rPr>
        <w:t>（三）国有资产占用情况</w:t>
      </w:r>
      <w:bookmarkEnd w:id="109"/>
      <w:bookmarkEnd w:id="110"/>
      <w:bookmarkEnd w:id="111"/>
      <w:bookmarkEnd w:id="112"/>
      <w:bookmarkEnd w:id="113"/>
      <w:bookmarkEnd w:id="1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bCs/>
          <w:sz w:val="32"/>
          <w:szCs w:val="32"/>
        </w:rPr>
        <w:t>截至</w:t>
      </w:r>
      <w:r>
        <w:rPr>
          <w:rFonts w:hint="default" w:ascii="仿宋_GB2312" w:hAnsi="ˎ̥" w:eastAsia="仿宋_GB2312"/>
          <w:bCs/>
          <w:sz w:val="32"/>
          <w:szCs w:val="32"/>
          <w:lang w:val="en-US"/>
        </w:rPr>
        <w:t>2024</w:t>
      </w:r>
      <w:r>
        <w:rPr>
          <w:rFonts w:hint="eastAsia" w:ascii="仿宋_GB2312" w:hAnsi="ˎ̥" w:eastAsia="仿宋_GB2312"/>
          <w:bCs/>
          <w:sz w:val="32"/>
          <w:szCs w:val="32"/>
        </w:rPr>
        <w:t>年12月31日，本部门拥有</w:t>
      </w:r>
      <w:r>
        <w:rPr>
          <w:rFonts w:hint="eastAsia" w:ascii="仿宋_GB2312" w:hAnsi="ˎ̥" w:eastAsia="仿宋_GB2312"/>
          <w:sz w:val="32"/>
          <w:szCs w:val="32"/>
        </w:rPr>
        <w:t>房屋面积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3462.84</w:t>
      </w:r>
      <w:r>
        <w:rPr>
          <w:rFonts w:hint="eastAsia" w:ascii="仿宋_GB2312" w:hAnsi="ˎ̥" w:eastAsia="仿宋_GB2312"/>
          <w:sz w:val="32"/>
          <w:szCs w:val="32"/>
        </w:rPr>
        <w:t>平方米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仿宋_GB2312" w:hAnsi="ˎ̥" w:eastAsia="仿宋_GB2312"/>
          <w:sz w:val="32"/>
          <w:szCs w:val="32"/>
          <w:lang w:val="en-US" w:eastAsia="zh-CN"/>
        </w:rPr>
      </w:pPr>
      <w:r>
        <w:rPr>
          <w:rFonts w:hint="eastAsia" w:ascii="仿宋_GB2312" w:hAnsi="ˎ̥" w:eastAsia="仿宋_GB2312"/>
          <w:sz w:val="32"/>
          <w:szCs w:val="32"/>
        </w:rPr>
        <w:t>本部门共有车辆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16</w:t>
      </w:r>
      <w:r>
        <w:rPr>
          <w:rFonts w:hint="eastAsia" w:ascii="仿宋_GB2312" w:hAnsi="ˎ̥" w:eastAsia="仿宋_GB2312"/>
          <w:sz w:val="32"/>
          <w:szCs w:val="32"/>
        </w:rPr>
        <w:t>辆，其中，副部（省）级及以上领导用车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辆、主要负责人用车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16</w:t>
      </w:r>
      <w:r>
        <w:rPr>
          <w:rFonts w:hint="eastAsia" w:ascii="仿宋_GB2312" w:hAnsi="ˎ̥" w:eastAsia="仿宋_GB2312"/>
          <w:sz w:val="32"/>
          <w:szCs w:val="32"/>
        </w:rPr>
        <w:t>辆、机要通信用车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辆、应急保障用车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辆、执法执勤用车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辆、特种专业技术用车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辆、离退休干部服务用车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辆、其他用车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辆。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</w:pPr>
      <w:r>
        <w:rPr>
          <w:rFonts w:hint="eastAsia" w:ascii="仿宋_GB2312" w:hAnsi="ˎ̥" w:eastAsia="仿宋_GB2312"/>
          <w:sz w:val="32"/>
          <w:szCs w:val="32"/>
        </w:rPr>
        <w:t>单价100万元（含）以上设备（不含车辆）</w:t>
      </w:r>
      <w:r>
        <w:rPr>
          <w:rFonts w:hint="eastAsia" w:ascii="仿宋_GB2312" w:hAnsi="ˎ̥" w:eastAsia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ˎ̥" w:eastAsia="仿宋_GB2312"/>
          <w:sz w:val="32"/>
          <w:szCs w:val="32"/>
        </w:rPr>
        <w:t>台（套）。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18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33AF98"/>
    <w:multiLevelType w:val="singleLevel"/>
    <w:tmpl w:val="5133AF9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2109F8D"/>
    <w:multiLevelType w:val="singleLevel"/>
    <w:tmpl w:val="72109F8D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mYzQ1MDkyYWIyNzUwMWU3MWE1NDc1MDQwMGEwZmIifQ=="/>
  </w:docVars>
  <w:rsids>
    <w:rsidRoot w:val="A7F73C99"/>
    <w:rsid w:val="00064A91"/>
    <w:rsid w:val="000718C4"/>
    <w:rsid w:val="000779B0"/>
    <w:rsid w:val="001E4E23"/>
    <w:rsid w:val="001E510D"/>
    <w:rsid w:val="001F28C1"/>
    <w:rsid w:val="001F4EC0"/>
    <w:rsid w:val="00213789"/>
    <w:rsid w:val="002A6E07"/>
    <w:rsid w:val="0034456B"/>
    <w:rsid w:val="003D2F77"/>
    <w:rsid w:val="004C755C"/>
    <w:rsid w:val="004D515A"/>
    <w:rsid w:val="004D5572"/>
    <w:rsid w:val="0050273F"/>
    <w:rsid w:val="00513897"/>
    <w:rsid w:val="00530C81"/>
    <w:rsid w:val="005C43A2"/>
    <w:rsid w:val="005E64FB"/>
    <w:rsid w:val="005F5987"/>
    <w:rsid w:val="00602EED"/>
    <w:rsid w:val="006B0D64"/>
    <w:rsid w:val="00731FC7"/>
    <w:rsid w:val="00740E64"/>
    <w:rsid w:val="00754F6E"/>
    <w:rsid w:val="007A4101"/>
    <w:rsid w:val="008232A9"/>
    <w:rsid w:val="00896ADB"/>
    <w:rsid w:val="009A2744"/>
    <w:rsid w:val="00A54A37"/>
    <w:rsid w:val="00A70448"/>
    <w:rsid w:val="00AA19F3"/>
    <w:rsid w:val="00AC28EE"/>
    <w:rsid w:val="00AC3F0E"/>
    <w:rsid w:val="00B36E61"/>
    <w:rsid w:val="00B409FF"/>
    <w:rsid w:val="00B4133E"/>
    <w:rsid w:val="00B54DE8"/>
    <w:rsid w:val="00B63E9E"/>
    <w:rsid w:val="00BC0439"/>
    <w:rsid w:val="00C04C21"/>
    <w:rsid w:val="00C7436A"/>
    <w:rsid w:val="00CA0F14"/>
    <w:rsid w:val="00CA536B"/>
    <w:rsid w:val="00CB0D1E"/>
    <w:rsid w:val="00CD6E49"/>
    <w:rsid w:val="00CD794A"/>
    <w:rsid w:val="00DB612B"/>
    <w:rsid w:val="00DC2A37"/>
    <w:rsid w:val="00E07782"/>
    <w:rsid w:val="00E70EA3"/>
    <w:rsid w:val="00F0336A"/>
    <w:rsid w:val="00F06DA9"/>
    <w:rsid w:val="00F103D6"/>
    <w:rsid w:val="00F25220"/>
    <w:rsid w:val="00FA2884"/>
    <w:rsid w:val="00FC03DC"/>
    <w:rsid w:val="00FC5708"/>
    <w:rsid w:val="09201287"/>
    <w:rsid w:val="0FC80124"/>
    <w:rsid w:val="136F98C7"/>
    <w:rsid w:val="17427E68"/>
    <w:rsid w:val="1755065F"/>
    <w:rsid w:val="1AFC29C9"/>
    <w:rsid w:val="1CA52F2E"/>
    <w:rsid w:val="1DFE370B"/>
    <w:rsid w:val="1E3630B9"/>
    <w:rsid w:val="26EEC2B5"/>
    <w:rsid w:val="29472309"/>
    <w:rsid w:val="2B406E77"/>
    <w:rsid w:val="2C2A0C43"/>
    <w:rsid w:val="2D1E73A5"/>
    <w:rsid w:val="32717154"/>
    <w:rsid w:val="34B63260"/>
    <w:rsid w:val="37FDA7E2"/>
    <w:rsid w:val="3A314D88"/>
    <w:rsid w:val="3A746883"/>
    <w:rsid w:val="3CA15DE9"/>
    <w:rsid w:val="3FE61EE5"/>
    <w:rsid w:val="406508EE"/>
    <w:rsid w:val="408D6263"/>
    <w:rsid w:val="41B40CEE"/>
    <w:rsid w:val="48317291"/>
    <w:rsid w:val="485F7024"/>
    <w:rsid w:val="48E70666"/>
    <w:rsid w:val="4C6877E5"/>
    <w:rsid w:val="4D6A468D"/>
    <w:rsid w:val="4EA86137"/>
    <w:rsid w:val="56CA7FD0"/>
    <w:rsid w:val="57FA38D1"/>
    <w:rsid w:val="5F7D3333"/>
    <w:rsid w:val="61385890"/>
    <w:rsid w:val="66337158"/>
    <w:rsid w:val="687436E1"/>
    <w:rsid w:val="6DA45C50"/>
    <w:rsid w:val="6E9A7825"/>
    <w:rsid w:val="6F670F9B"/>
    <w:rsid w:val="737450E0"/>
    <w:rsid w:val="74054476"/>
    <w:rsid w:val="742F38C4"/>
    <w:rsid w:val="74AB66DC"/>
    <w:rsid w:val="74C4154C"/>
    <w:rsid w:val="75956FFF"/>
    <w:rsid w:val="77AA2D01"/>
    <w:rsid w:val="7CDE1DBD"/>
    <w:rsid w:val="7D943A85"/>
    <w:rsid w:val="7DB0448C"/>
    <w:rsid w:val="7E5F9AA4"/>
    <w:rsid w:val="8FFC8888"/>
    <w:rsid w:val="A7F73C99"/>
    <w:rsid w:val="BFFE3BF4"/>
    <w:rsid w:val="DFEBDA37"/>
    <w:rsid w:val="EF6FCA1D"/>
    <w:rsid w:val="EFFF57D6"/>
    <w:rsid w:val="FD33A2D0"/>
    <w:rsid w:val="FF7FA20F"/>
    <w:rsid w:val="FFFE81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</w:style>
  <w:style w:type="paragraph" w:styleId="3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character" w:styleId="9">
    <w:name w:val="page number"/>
    <w:qFormat/>
    <w:uiPriority w:val="0"/>
  </w:style>
  <w:style w:type="character" w:styleId="10">
    <w:name w:val="annotation reference"/>
    <w:qFormat/>
    <w:uiPriority w:val="0"/>
    <w:rPr>
      <w:sz w:val="21"/>
      <w:szCs w:val="21"/>
    </w:rPr>
  </w:style>
  <w:style w:type="character" w:customStyle="1" w:styleId="11">
    <w:name w:val="批注文字 Char"/>
    <w:link w:val="2"/>
    <w:qFormat/>
    <w:uiPriority w:val="0"/>
    <w:rPr>
      <w:kern w:val="2"/>
      <w:sz w:val="21"/>
      <w:szCs w:val="24"/>
    </w:rPr>
  </w:style>
  <w:style w:type="character" w:customStyle="1" w:styleId="12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13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4">
    <w:name w:val="批注主题 Char"/>
    <w:link w:val="6"/>
    <w:qFormat/>
    <w:uiPriority w:val="0"/>
    <w:rPr>
      <w:b/>
      <w:bCs/>
      <w:kern w:val="2"/>
      <w:sz w:val="21"/>
      <w:szCs w:val="24"/>
    </w:rPr>
  </w:style>
  <w:style w:type="paragraph" w:customStyle="1" w:styleId="15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6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7">
    <w:name w:val="正文1 Char Char Char"/>
    <w:basedOn w:val="1"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7186</Words>
  <Characters>10522</Characters>
  <Lines>67</Lines>
  <Paragraphs>18</Paragraphs>
  <TotalTime>0</TotalTime>
  <ScaleCrop>false</ScaleCrop>
  <LinksUpToDate>false</LinksUpToDate>
  <CharactersWithSpaces>10608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2024-07-24T03:26:00Z</dcterms:created>
  <dc:creator>uos</dc:creator>
  <cp:lastModifiedBy>qwe</cp:lastModifiedBy>
  <cp:lastPrinted>2023-08-03T00:58:00Z</cp:lastPrinted>
  <dcterms:modified xsi:type="dcterms:W3CDTF">2026-04-28T08:54:05Z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03AE7F14E2DC4BACB053764200FF950D_13</vt:lpwstr>
  </property>
  <property fmtid="{D5CDD505-2E9C-101B-9397-08002B2CF9AE}" pid="4" name="KSOTemplateDocerSaveRecord">
    <vt:lpwstr>eyJoZGlkIjoiY2VlZThlZDk5ZTQ4MTFjNGY3MjIxNTdiOWMzZmQwMWMiLCJ1c2VySWQiOiIyMzQ5MTc1OTYifQ==</vt:lpwstr>
  </property>
</Properties>
</file>