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申扎县环保局机关2024年度部门决算</w:t>
      </w:r>
    </w:p>
    <w:p>
      <w:pPr>
        <w:spacing w:line="578" w:lineRule="exact"/>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公开报告</w:t>
      </w:r>
    </w:p>
    <w:p>
      <w:pPr>
        <w:spacing w:line="578" w:lineRule="exact"/>
        <w:jc w:val="center"/>
        <w:rPr>
          <w:rFonts w:ascii="黑体" w:hAnsi="ˎ̥" w:eastAsia="黑体"/>
          <w:b/>
          <w:sz w:val="32"/>
          <w:szCs w:val="32"/>
        </w:rPr>
      </w:pPr>
    </w:p>
    <w:p>
      <w:pPr>
        <w:spacing w:line="578" w:lineRule="exact"/>
        <w:jc w:val="center"/>
        <w:rPr>
          <w:rFonts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6"/>
        <w:tabs>
          <w:tab w:val="right" w:leader="dot" w:pos="8306"/>
        </w:tabs>
        <w:spacing w:line="578" w:lineRule="exact"/>
        <w:rPr>
          <w:sz w:val="32"/>
          <w:szCs w:val="32"/>
        </w:rPr>
      </w:pPr>
      <w:r>
        <w:fldChar w:fldCharType="begin"/>
      </w:r>
      <w:r>
        <w:instrText xml:space="preserve"> HYPERLINK \l "_Toc1704_WPSOffice_Level1" </w:instrText>
      </w:r>
      <w:r>
        <w:fldChar w:fldCharType="separate"/>
      </w:r>
      <w:r>
        <w:rPr>
          <w:rFonts w:hint="eastAsia" w:ascii="黑体" w:hAnsi="ˎ̥" w:eastAsia="黑体"/>
          <w:sz w:val="32"/>
          <w:szCs w:val="32"/>
        </w:rPr>
        <w:t>第一部分 基本情况</w:t>
      </w:r>
      <w:r>
        <w:rPr>
          <w:sz w:val="32"/>
          <w:szCs w:val="32"/>
        </w:rPr>
        <w:tab/>
      </w:r>
      <w:r>
        <w:rPr>
          <w:sz w:val="32"/>
          <w:szCs w:val="32"/>
        </w:rPr>
        <w:fldChar w:fldCharType="end"/>
      </w:r>
    </w:p>
    <w:p>
      <w:pPr>
        <w:pStyle w:val="17"/>
        <w:tabs>
          <w:tab w:val="right" w:leader="dot" w:pos="8306"/>
        </w:tabs>
        <w:spacing w:line="578" w:lineRule="exact"/>
        <w:ind w:leftChars="0"/>
        <w:rPr>
          <w:rFonts w:ascii="仿宋" w:hAnsi="仿宋" w:eastAsia="仿宋" w:cs="仿宋"/>
          <w:sz w:val="32"/>
          <w:szCs w:val="32"/>
        </w:rPr>
      </w:pPr>
      <w:r>
        <w:fldChar w:fldCharType="begin"/>
      </w:r>
      <w:r>
        <w:instrText xml:space="preserve"> HYPERLINK \l "_Toc20274_WPSOffice_Level2" </w:instrText>
      </w:r>
      <w: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p>
    <w:p>
      <w:pPr>
        <w:pStyle w:val="17"/>
        <w:tabs>
          <w:tab w:val="right" w:leader="dot" w:pos="8306"/>
        </w:tabs>
        <w:spacing w:line="578" w:lineRule="exact"/>
        <w:ind w:leftChars="0"/>
        <w:rPr>
          <w:rFonts w:ascii="仿宋" w:hAnsi="仿宋" w:eastAsia="仿宋" w:cs="仿宋"/>
          <w:sz w:val="32"/>
          <w:szCs w:val="32"/>
        </w:rPr>
      </w:pPr>
      <w:r>
        <w:fldChar w:fldCharType="begin"/>
      </w:r>
      <w:r>
        <w:instrText xml:space="preserve"> HYPERLINK \l "_Toc4833_WPSOffice_Level2" </w:instrText>
      </w:r>
      <w: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p>
    <w:p>
      <w:pPr>
        <w:pStyle w:val="16"/>
        <w:tabs>
          <w:tab w:val="right" w:leader="dot" w:pos="8306"/>
        </w:tabs>
        <w:spacing w:line="578" w:lineRule="exact"/>
        <w:rPr>
          <w:sz w:val="32"/>
          <w:szCs w:val="32"/>
        </w:rPr>
      </w:pPr>
      <w:r>
        <w:fldChar w:fldCharType="begin"/>
      </w:r>
      <w:r>
        <w:instrText xml:space="preserve"> HYPERLINK \l "_Toc28253_WPSOffice_Level1" </w:instrText>
      </w:r>
      <w:r>
        <w:fldChar w:fldCharType="separate"/>
      </w:r>
      <w:r>
        <w:rPr>
          <w:rFonts w:hint="eastAsia" w:ascii="黑体" w:hAnsi="ˎ̥" w:eastAsia="黑体"/>
          <w:sz w:val="32"/>
          <w:szCs w:val="32"/>
        </w:rPr>
        <w:t xml:space="preserve">第二部分  </w:t>
      </w:r>
      <w:r>
        <w:rPr>
          <w:rFonts w:ascii="黑体" w:hAnsi="ˎ̥" w:eastAsia="黑体"/>
          <w:sz w:val="32"/>
          <w:szCs w:val="32"/>
        </w:rPr>
        <w:t>2024</w:t>
      </w:r>
      <w:r>
        <w:rPr>
          <w:rFonts w:hint="eastAsia" w:ascii="黑体" w:hAnsi="ˎ̥" w:eastAsia="黑体"/>
          <w:sz w:val="32"/>
          <w:szCs w:val="32"/>
        </w:rPr>
        <w:t>年度部门决算公开表</w:t>
      </w:r>
      <w:r>
        <w:rPr>
          <w:sz w:val="32"/>
          <w:szCs w:val="32"/>
        </w:rPr>
        <w:tab/>
      </w:r>
      <w:r>
        <w:rPr>
          <w:sz w:val="32"/>
          <w:szCs w:val="32"/>
        </w:rPr>
        <w:fldChar w:fldCharType="end"/>
      </w:r>
    </w:p>
    <w:p>
      <w:pPr>
        <w:pStyle w:val="16"/>
        <w:tabs>
          <w:tab w:val="right" w:leader="dot" w:pos="8306"/>
        </w:tabs>
        <w:spacing w:line="578" w:lineRule="exact"/>
        <w:rPr>
          <w:sz w:val="32"/>
          <w:szCs w:val="32"/>
        </w:rPr>
      </w:pPr>
      <w:r>
        <w:fldChar w:fldCharType="begin"/>
      </w:r>
      <w:r>
        <w:instrText xml:space="preserve"> HYPERLINK \l "_Toc27590_WPSOffice_Level1" </w:instrText>
      </w:r>
      <w:r>
        <w:fldChar w:fldCharType="separate"/>
      </w:r>
      <w:r>
        <w:rPr>
          <w:rFonts w:hint="eastAsia" w:ascii="黑体" w:hAnsi="黑体" w:eastAsia="黑体" w:cs="黑体"/>
          <w:sz w:val="32"/>
          <w:szCs w:val="32"/>
        </w:rPr>
        <w:t>第三部分</w:t>
      </w:r>
      <w:r>
        <w:rPr>
          <w:rFonts w:ascii="黑体" w:hAnsi="ˎ̥" w:eastAsia="黑体"/>
          <w:sz w:val="32"/>
          <w:szCs w:val="32"/>
        </w:rPr>
        <w:t>2024</w:t>
      </w:r>
      <w:r>
        <w:rPr>
          <w:rFonts w:hint="eastAsia" w:ascii="黑体" w:hAnsi="ˎ̥" w:eastAsia="黑体"/>
          <w:sz w:val="32"/>
          <w:szCs w:val="32"/>
        </w:rPr>
        <w:t>年度部门决算情况说明</w:t>
      </w:r>
      <w:r>
        <w:rPr>
          <w:sz w:val="32"/>
          <w:szCs w:val="32"/>
        </w:rPr>
        <w:tab/>
      </w:r>
      <w:r>
        <w:rPr>
          <w:sz w:val="32"/>
          <w:szCs w:val="32"/>
        </w:rPr>
        <w:fldChar w:fldCharType="end"/>
      </w:r>
    </w:p>
    <w:p>
      <w:pPr>
        <w:pStyle w:val="17"/>
        <w:tabs>
          <w:tab w:val="right" w:leader="dot" w:pos="8306"/>
        </w:tabs>
        <w:spacing w:line="578" w:lineRule="exact"/>
        <w:ind w:leftChars="0"/>
        <w:rPr>
          <w:rFonts w:ascii="仿宋" w:hAnsi="仿宋" w:eastAsia="仿宋" w:cs="仿宋"/>
          <w:sz w:val="32"/>
          <w:szCs w:val="32"/>
        </w:rPr>
      </w:pPr>
      <w:r>
        <w:fldChar w:fldCharType="begin"/>
      </w:r>
      <w:r>
        <w:instrText xml:space="preserve"> HYPERLINK \l "_Toc21737_WPSOffice_Level2" </w:instrText>
      </w:r>
      <w: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p>
    <w:p>
      <w:pPr>
        <w:pStyle w:val="17"/>
        <w:tabs>
          <w:tab w:val="right" w:leader="dot" w:pos="8306"/>
        </w:tabs>
        <w:spacing w:line="578" w:lineRule="exact"/>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p>
    <w:p>
      <w:pPr>
        <w:pStyle w:val="17"/>
        <w:tabs>
          <w:tab w:val="right" w:leader="dot" w:pos="8306"/>
        </w:tabs>
        <w:spacing w:line="578" w:lineRule="exact"/>
        <w:ind w:leftChars="0"/>
        <w:rPr>
          <w:rFonts w:hint="eastAsia"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p>
    <w:p>
      <w:pPr>
        <w:pStyle w:val="17"/>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四、财政拨款收入支出决算总体情况说明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p>
    <w:p>
      <w:pPr>
        <w:pStyle w:val="17"/>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p>
    <w:p>
      <w:pPr>
        <w:pStyle w:val="17"/>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bCs/>
          <w:sz w:val="32"/>
          <w:szCs w:val="32"/>
        </w:rPr>
        <w:fldChar w:fldCharType="end"/>
      </w:r>
      <w:r>
        <w:rPr>
          <w:rFonts w:hint="eastAsia" w:ascii="仿宋" w:hAnsi="仿宋" w:eastAsia="仿宋" w:cs="仿宋"/>
          <w:sz w:val="32"/>
          <w:szCs w:val="32"/>
        </w:rPr>
        <w:tab/>
      </w:r>
    </w:p>
    <w:p>
      <w:pPr>
        <w:pStyle w:val="17"/>
        <w:numPr>
          <w:ilvl w:val="0"/>
          <w:numId w:val="1"/>
        </w:numPr>
        <w:tabs>
          <w:tab w:val="right" w:leader="dot" w:pos="8306"/>
        </w:tabs>
        <w:spacing w:line="578" w:lineRule="exact"/>
        <w:ind w:leftChars="0"/>
        <w:rPr>
          <w:rFonts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p>
    <w:p>
      <w:pPr>
        <w:pStyle w:val="17"/>
        <w:numPr>
          <w:ilvl w:val="0"/>
          <w:numId w:val="1"/>
        </w:numPr>
        <w:tabs>
          <w:tab w:val="right" w:leader="dot" w:pos="8306"/>
        </w:tabs>
        <w:spacing w:line="578" w:lineRule="exact"/>
        <w:ind w:leftChars="0"/>
        <w:rPr>
          <w:rFonts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p>
    <w:p>
      <w:pPr>
        <w:pStyle w:val="17"/>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p>
    <w:p>
      <w:pPr>
        <w:pStyle w:val="17"/>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p>
    <w:p>
      <w:pPr>
        <w:pStyle w:val="17"/>
        <w:tabs>
          <w:tab w:val="right" w:leader="dot" w:pos="8306"/>
        </w:tabs>
        <w:spacing w:line="578" w:lineRule="exact"/>
        <w:ind w:leftChars="0"/>
        <w:rPr>
          <w:rFonts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p>
    <w:bookmarkEnd w:id="0"/>
    <w:p>
      <w:pPr>
        <w:pStyle w:val="16"/>
        <w:tabs>
          <w:tab w:val="right" w:leader="dot" w:pos="8306"/>
        </w:tabs>
        <w:spacing w:line="578" w:lineRule="exact"/>
        <w:ind w:firstLine="320" w:firstLineChars="100"/>
        <w:rPr>
          <w:rFonts w:ascii="黑体" w:hAnsi="ˎ̥"/>
          <w:b/>
          <w:sz w:val="32"/>
          <w:szCs w:val="32"/>
        </w:rPr>
      </w:pPr>
      <w:r>
        <w:rPr>
          <w:rFonts w:hint="eastAsia" w:ascii="黑体" w:hAnsi="ˎ̥" w:eastAsia="黑体"/>
          <w:sz w:val="32"/>
          <w:szCs w:val="32"/>
        </w:rPr>
        <w:t>第四部分  名词解释</w:t>
      </w:r>
      <w:r>
        <w:rPr>
          <w:rFonts w:hint="eastAsia" w:ascii="仿宋" w:hAnsi="仿宋" w:eastAsia="仿宋" w:cs="仿宋"/>
          <w:sz w:val="32"/>
          <w:szCs w:val="32"/>
        </w:rPr>
        <w:tab/>
      </w:r>
    </w:p>
    <w:p>
      <w:pPr>
        <w:spacing w:line="578" w:lineRule="exact"/>
        <w:jc w:val="both"/>
        <w:rPr>
          <w:rFonts w:hint="eastAsia" w:ascii="黑体" w:hAnsi="ˎ̥" w:eastAsia="黑体"/>
          <w:sz w:val="32"/>
          <w:szCs w:val="32"/>
        </w:rPr>
      </w:pPr>
      <w:bookmarkStart w:id="1" w:name="_Toc1704_WPSOffice_Level1"/>
      <w:bookmarkStart w:id="2" w:name="_Toc32433_WPSOffice_Level1"/>
      <w:bookmarkStart w:id="3" w:name="_Toc10720_WPSOffice_Level1"/>
      <w:bookmarkStart w:id="4" w:name="_Toc10049_WPSOffice_Level1"/>
      <w:bookmarkStart w:id="5" w:name="_Toc23465_WPSOffice_Level1"/>
      <w:bookmarkStart w:id="6" w:name="_Toc22941_WPSOffice_Level1"/>
      <w:bookmarkStart w:id="7" w:name="_Toc24238_WPSOffice_Level2"/>
      <w:bookmarkStart w:id="8" w:name="_Toc32622_WPSOffice_Level2"/>
      <w:bookmarkStart w:id="9" w:name="_Toc14159_WPSOffice_Level2"/>
      <w:bookmarkStart w:id="10" w:name="_Toc26580_WPSOffice_Level2"/>
      <w:bookmarkStart w:id="11" w:name="_Toc20274_WPSOffice_Level2"/>
      <w:bookmarkStart w:id="12" w:name="_Toc20205_WPSOffice_Level2"/>
    </w:p>
    <w:p>
      <w:pPr>
        <w:spacing w:line="578" w:lineRule="exact"/>
        <w:ind w:firstLine="3200" w:firstLineChars="1000"/>
        <w:jc w:val="both"/>
        <w:rPr>
          <w:rFonts w:ascii="黑体" w:hAnsi="ˎ̥" w:eastAsia="黑体"/>
          <w:sz w:val="32"/>
          <w:szCs w:val="32"/>
        </w:rPr>
      </w:pPr>
      <w:r>
        <w:rPr>
          <w:rFonts w:hint="eastAsia" w:ascii="黑体" w:hAnsi="ˎ̥" w:eastAsia="黑体"/>
          <w:sz w:val="32"/>
          <w:szCs w:val="32"/>
        </w:rPr>
        <w:t xml:space="preserve">第一部分  </w:t>
      </w:r>
      <w:bookmarkEnd w:id="1"/>
      <w:bookmarkEnd w:id="2"/>
      <w:bookmarkEnd w:id="3"/>
      <w:bookmarkEnd w:id="4"/>
      <w:bookmarkEnd w:id="5"/>
      <w:bookmarkEnd w:id="6"/>
      <w:r>
        <w:rPr>
          <w:rFonts w:hint="eastAsia" w:ascii="黑体" w:hAnsi="ˎ̥" w:eastAsia="黑体"/>
          <w:sz w:val="32"/>
          <w:szCs w:val="32"/>
        </w:rPr>
        <w:t>基本情况</w:t>
      </w:r>
    </w:p>
    <w:p>
      <w:pPr>
        <w:spacing w:line="578" w:lineRule="exact"/>
        <w:ind w:firstLine="640" w:firstLineChars="200"/>
        <w:rPr>
          <w:rFonts w:ascii="楷体" w:hAnsi="楷体" w:eastAsia="楷体" w:cs="楷体"/>
          <w:sz w:val="32"/>
          <w:szCs w:val="32"/>
        </w:rPr>
      </w:pPr>
    </w:p>
    <w:p>
      <w:pPr>
        <w:numPr>
          <w:ilvl w:val="0"/>
          <w:numId w:val="2"/>
        </w:numPr>
        <w:spacing w:line="578" w:lineRule="exact"/>
        <w:ind w:firstLine="640" w:firstLineChars="200"/>
        <w:rPr>
          <w:rFonts w:ascii="黑体" w:hAnsi="黑体" w:eastAsia="黑体" w:cs="黑体"/>
          <w:sz w:val="32"/>
          <w:szCs w:val="32"/>
        </w:rPr>
      </w:pPr>
      <w:r>
        <w:rPr>
          <w:rFonts w:hint="eastAsia" w:ascii="黑体" w:hAnsi="黑体" w:eastAsia="黑体" w:cs="黑体"/>
          <w:sz w:val="32"/>
          <w:szCs w:val="32"/>
        </w:rPr>
        <w:t>部门</w:t>
      </w:r>
      <w:bookmarkEnd w:id="7"/>
      <w:r>
        <w:rPr>
          <w:rFonts w:hint="eastAsia" w:ascii="黑体" w:hAnsi="黑体" w:eastAsia="黑体" w:cs="黑体"/>
          <w:sz w:val="32"/>
          <w:szCs w:val="32"/>
        </w:rPr>
        <w:t>（单位）职责</w:t>
      </w:r>
      <w:bookmarkEnd w:id="8"/>
      <w:bookmarkEnd w:id="9"/>
      <w:bookmarkEnd w:id="10"/>
      <w:bookmarkEnd w:id="11"/>
      <w:bookmarkEnd w:id="12"/>
    </w:p>
    <w:p>
      <w:pPr>
        <w:numPr>
          <w:ilvl w:val="0"/>
          <w:numId w:val="3"/>
        </w:numPr>
        <w:spacing w:line="588" w:lineRule="exact"/>
        <w:rPr>
          <w:ins w:id="0" w:author="成在坚强，败在固执" w:date="2025-02-12T10:03:00Z"/>
          <w:rFonts w:ascii="仿宋" w:hAnsi="仿宋" w:eastAsia="仿宋"/>
          <w:color w:val="000000" w:themeColor="text1"/>
          <w:sz w:val="32"/>
          <w:szCs w:val="32"/>
        </w:rPr>
      </w:pPr>
      <w:ins w:id="1" w:author="成在坚强，败在固执" w:date="2025-02-12T10:00:00Z">
        <w:r>
          <w:rPr>
            <w:rFonts w:hint="eastAsia" w:ascii="仿宋" w:hAnsi="仿宋" w:eastAsia="仿宋"/>
            <w:color w:val="000000" w:themeColor="text1"/>
            <w:sz w:val="32"/>
            <w:szCs w:val="32"/>
          </w:rPr>
          <w:t>负责建立健全生态环境基本制度。贯彻执行国家生态环境法律法规和政策、规划、标准</w:t>
        </w:r>
      </w:ins>
      <w:ins w:id="2" w:author="成在坚强，败在固执" w:date="2025-02-12T10:01:00Z">
        <w:r>
          <w:rPr>
            <w:rFonts w:hint="eastAsia" w:ascii="仿宋" w:hAnsi="仿宋" w:eastAsia="仿宋"/>
            <w:color w:val="000000" w:themeColor="text1"/>
            <w:sz w:val="32"/>
            <w:szCs w:val="32"/>
          </w:rPr>
          <w:t>，</w:t>
        </w:r>
      </w:ins>
      <w:ins w:id="3" w:author="成在坚强，败在固执" w:date="2025-02-12T10:02:00Z">
        <w:r>
          <w:rPr>
            <w:rFonts w:hint="eastAsia" w:ascii="仿宋" w:hAnsi="仿宋" w:eastAsia="仿宋"/>
            <w:color w:val="000000" w:themeColor="text1"/>
            <w:sz w:val="32"/>
            <w:szCs w:val="32"/>
          </w:rPr>
          <w:t>会同有关</w:t>
        </w:r>
      </w:ins>
      <w:ins w:id="4" w:author="成在坚强，败在固执" w:date="2025-02-12T10:01:00Z">
        <w:r>
          <w:rPr>
            <w:rFonts w:hint="eastAsia" w:ascii="仿宋" w:hAnsi="仿宋" w:eastAsia="仿宋"/>
            <w:color w:val="000000" w:themeColor="text1"/>
            <w:sz w:val="32"/>
            <w:szCs w:val="32"/>
          </w:rPr>
          <w:t>部门拟</w:t>
        </w:r>
      </w:ins>
      <w:ins w:id="5" w:author="成在坚强，败在固执" w:date="2025-02-12T10:03:00Z">
        <w:r>
          <w:rPr>
            <w:rFonts w:hint="eastAsia" w:ascii="仿宋" w:hAnsi="仿宋" w:eastAsia="仿宋"/>
            <w:color w:val="000000" w:themeColor="text1"/>
            <w:sz w:val="32"/>
            <w:szCs w:val="32"/>
          </w:rPr>
          <w:t>订</w:t>
        </w:r>
      </w:ins>
      <w:ins w:id="6" w:author="成在坚强，败在固执" w:date="2025-02-12T10:01:00Z">
        <w:r>
          <w:rPr>
            <w:rFonts w:hint="eastAsia" w:ascii="仿宋" w:hAnsi="仿宋" w:eastAsia="仿宋"/>
            <w:color w:val="000000" w:themeColor="text1"/>
            <w:sz w:val="32"/>
            <w:szCs w:val="32"/>
          </w:rPr>
          <w:t>生态环境政策、规划、区划</w:t>
        </w:r>
      </w:ins>
      <w:ins w:id="7" w:author="成在坚强，败在固执" w:date="2025-02-12T10:02:00Z">
        <w:r>
          <w:rPr>
            <w:rFonts w:hint="eastAsia" w:ascii="仿宋" w:hAnsi="仿宋" w:eastAsia="仿宋"/>
            <w:color w:val="000000" w:themeColor="text1"/>
            <w:sz w:val="32"/>
            <w:szCs w:val="32"/>
          </w:rPr>
          <w:t>并组织实施，起草生态环境地方性法规草案和政府规章草案。会同有关部门编制并监督实施重点区域、流域、</w:t>
        </w:r>
      </w:ins>
      <w:ins w:id="8" w:author="成在坚强，败在固执" w:date="2025-02-12T10:03:00Z">
        <w:r>
          <w:rPr>
            <w:rFonts w:hint="eastAsia" w:ascii="仿宋" w:hAnsi="仿宋" w:eastAsia="仿宋"/>
            <w:color w:val="000000" w:themeColor="text1"/>
            <w:sz w:val="32"/>
            <w:szCs w:val="32"/>
          </w:rPr>
          <w:t>饮用水水源地生态环境规划和水功能区划，组织拟订地方生态环境标准与技术规范。</w:t>
        </w:r>
      </w:ins>
    </w:p>
    <w:p>
      <w:pPr>
        <w:numPr>
          <w:ilvl w:val="0"/>
          <w:numId w:val="3"/>
        </w:numPr>
        <w:spacing w:line="588" w:lineRule="exact"/>
        <w:rPr>
          <w:ins w:id="9" w:author="成在坚强，败在固执" w:date="2025-02-12T10:07:00Z"/>
          <w:rFonts w:ascii="仿宋" w:hAnsi="仿宋" w:eastAsia="仿宋"/>
          <w:color w:val="000000" w:themeColor="text1"/>
          <w:sz w:val="32"/>
          <w:szCs w:val="32"/>
        </w:rPr>
      </w:pPr>
      <w:ins w:id="10" w:author="成在坚强，败在固执" w:date="2025-02-12T10:03:00Z">
        <w:r>
          <w:rPr>
            <w:rFonts w:hint="eastAsia" w:ascii="仿宋" w:hAnsi="仿宋" w:eastAsia="仿宋"/>
            <w:color w:val="000000" w:themeColor="text1"/>
            <w:sz w:val="32"/>
            <w:szCs w:val="32"/>
          </w:rPr>
          <w:t>负责地方生态环境</w:t>
        </w:r>
      </w:ins>
      <w:ins w:id="11" w:author="成在坚强，败在固执" w:date="2025-02-12T10:04:00Z">
        <w:r>
          <w:rPr>
            <w:rFonts w:hint="eastAsia" w:ascii="仿宋" w:hAnsi="仿宋" w:eastAsia="仿宋"/>
            <w:color w:val="000000" w:themeColor="text1"/>
            <w:sz w:val="32"/>
            <w:szCs w:val="32"/>
          </w:rPr>
          <w:t>问题和行业安全生产的统筹协调、监督管理。牵头协调地方环境污染事故和生态破坏事件的调查处理，指导协调</w:t>
        </w:r>
      </w:ins>
      <w:ins w:id="12" w:author="成在坚强，败在固执" w:date="2025-02-12T10:05:00Z">
        <w:r>
          <w:rPr>
            <w:rFonts w:hint="eastAsia" w:ascii="仿宋" w:hAnsi="仿宋" w:eastAsia="仿宋"/>
            <w:color w:val="000000" w:themeColor="text1"/>
            <w:sz w:val="32"/>
            <w:szCs w:val="32"/>
          </w:rPr>
          <w:t>县政府各单位</w:t>
        </w:r>
      </w:ins>
      <w:ins w:id="13" w:author="成在坚强，败在固执" w:date="2025-02-12T10:04:00Z">
        <w:r>
          <w:rPr>
            <w:rFonts w:hint="eastAsia" w:ascii="仿宋" w:hAnsi="仿宋" w:eastAsia="仿宋"/>
            <w:color w:val="000000" w:themeColor="text1"/>
            <w:sz w:val="32"/>
            <w:szCs w:val="32"/>
          </w:rPr>
          <w:t>对突发生态环境</w:t>
        </w:r>
      </w:ins>
      <w:ins w:id="14" w:author="成在坚强，败在固执" w:date="2025-02-12T10:05:00Z">
        <w:r>
          <w:rPr>
            <w:rFonts w:hint="eastAsia" w:ascii="仿宋" w:hAnsi="仿宋" w:eastAsia="仿宋"/>
            <w:color w:val="000000" w:themeColor="text1"/>
            <w:sz w:val="32"/>
            <w:szCs w:val="32"/>
          </w:rPr>
          <w:t>事件的应急、预警</w:t>
        </w:r>
      </w:ins>
      <w:ins w:id="15" w:author="成在坚强，败在固执" w:date="2025-02-12T10:06:00Z">
        <w:r>
          <w:rPr>
            <w:rFonts w:hint="eastAsia" w:ascii="仿宋" w:hAnsi="仿宋" w:eastAsia="仿宋"/>
            <w:color w:val="000000" w:themeColor="text1"/>
            <w:sz w:val="32"/>
            <w:szCs w:val="32"/>
          </w:rPr>
          <w:t>工作。落实生态环境损害赔偿制度，协调解决有关跨区域环境污染纠纷，统筹协调</w:t>
        </w:r>
      </w:ins>
      <w:ins w:id="16" w:author="成在坚强，败在固执" w:date="2025-02-12T10:07:00Z">
        <w:r>
          <w:rPr>
            <w:rFonts w:hint="eastAsia" w:ascii="仿宋" w:hAnsi="仿宋" w:eastAsia="仿宋"/>
            <w:color w:val="000000" w:themeColor="text1"/>
            <w:sz w:val="32"/>
            <w:szCs w:val="32"/>
          </w:rPr>
          <w:t>全县重点区域、流域生态环境保护工作。</w:t>
        </w:r>
      </w:ins>
    </w:p>
    <w:p>
      <w:pPr>
        <w:numPr>
          <w:ilvl w:val="0"/>
          <w:numId w:val="3"/>
        </w:numPr>
        <w:spacing w:line="588" w:lineRule="exact"/>
        <w:rPr>
          <w:ins w:id="17" w:author="成在坚强，败在固执" w:date="2025-02-12T10:10:00Z"/>
          <w:rFonts w:ascii="仿宋" w:hAnsi="仿宋" w:eastAsia="仿宋"/>
          <w:color w:val="000000" w:themeColor="text1"/>
          <w:sz w:val="32"/>
          <w:szCs w:val="32"/>
        </w:rPr>
      </w:pPr>
      <w:ins w:id="18" w:author="成在坚强，败在固执" w:date="2025-02-12T10:07:00Z">
        <w:r>
          <w:rPr>
            <w:rFonts w:hint="eastAsia" w:ascii="仿宋" w:hAnsi="仿宋" w:eastAsia="仿宋"/>
            <w:color w:val="000000" w:themeColor="text1"/>
            <w:sz w:val="32"/>
            <w:szCs w:val="32"/>
          </w:rPr>
          <w:t>负责监督管理国家、自治区、市和</w:t>
        </w:r>
      </w:ins>
      <w:ins w:id="19" w:author="成在坚强，败在固执" w:date="2025-02-12T10:08:00Z">
        <w:r>
          <w:rPr>
            <w:rFonts w:hint="eastAsia" w:ascii="仿宋" w:hAnsi="仿宋" w:eastAsia="仿宋"/>
            <w:color w:val="000000" w:themeColor="text1"/>
            <w:sz w:val="32"/>
            <w:szCs w:val="32"/>
          </w:rPr>
          <w:t>县（区）减排目标的落实。组织实施地方各类污染物排放总量控制、排污许可证制度。提出全县实施总量控制的污染物</w:t>
        </w:r>
      </w:ins>
      <w:ins w:id="20" w:author="成在坚强，败在固执" w:date="2025-02-12T10:09:00Z">
        <w:r>
          <w:rPr>
            <w:rFonts w:hint="eastAsia" w:ascii="仿宋" w:hAnsi="仿宋" w:eastAsia="仿宋"/>
            <w:color w:val="000000" w:themeColor="text1"/>
            <w:sz w:val="32"/>
            <w:szCs w:val="32"/>
          </w:rPr>
          <w:t>名称和控制指标，监督检查全县污染物减排任务完成情况，实施生态环境</w:t>
        </w:r>
      </w:ins>
      <w:ins w:id="21" w:author="成在坚强，败在固执" w:date="2025-02-12T10:10:00Z">
        <w:r>
          <w:rPr>
            <w:rFonts w:hint="eastAsia" w:ascii="仿宋" w:hAnsi="仿宋" w:eastAsia="仿宋"/>
            <w:color w:val="000000" w:themeColor="text1"/>
            <w:sz w:val="32"/>
            <w:szCs w:val="32"/>
          </w:rPr>
          <w:t>保护目标责任制。</w:t>
        </w:r>
      </w:ins>
    </w:p>
    <w:p>
      <w:pPr>
        <w:numPr>
          <w:ilvl w:val="0"/>
          <w:numId w:val="3"/>
        </w:numPr>
        <w:spacing w:line="588" w:lineRule="exact"/>
        <w:rPr>
          <w:ins w:id="22" w:author="成在坚强，败在固执" w:date="2025-02-12T10:12:00Z"/>
          <w:rFonts w:ascii="仿宋" w:hAnsi="仿宋" w:eastAsia="仿宋"/>
          <w:color w:val="000000" w:themeColor="text1"/>
          <w:sz w:val="32"/>
          <w:szCs w:val="32"/>
        </w:rPr>
      </w:pPr>
      <w:ins w:id="23" w:author="成在坚强，败在固执" w:date="2025-02-12T10:10:00Z">
        <w:r>
          <w:rPr>
            <w:rFonts w:hint="eastAsia" w:ascii="仿宋" w:hAnsi="仿宋" w:eastAsia="仿宋"/>
            <w:color w:val="000000" w:themeColor="text1"/>
            <w:sz w:val="32"/>
            <w:szCs w:val="32"/>
          </w:rPr>
          <w:t>负责提出全县生态环境领域固定资产投资规模和方向、</w:t>
        </w:r>
      </w:ins>
      <w:ins w:id="24" w:author="成在坚强，败在固执" w:date="2025-02-12T10:11:00Z">
        <w:r>
          <w:rPr>
            <w:rFonts w:hint="eastAsia" w:ascii="仿宋" w:hAnsi="仿宋" w:eastAsia="仿宋"/>
            <w:color w:val="000000" w:themeColor="text1"/>
            <w:sz w:val="32"/>
            <w:szCs w:val="32"/>
          </w:rPr>
          <w:t>自治区、市和县财政性资金安排的意见，按规定权限审批、核准县规划内和年度计划规模内固定资产投资项目，配合有关部门做好</w:t>
        </w:r>
      </w:ins>
      <w:ins w:id="25" w:author="成在坚强，败在固执" w:date="2025-02-12T10:12:00Z">
        <w:r>
          <w:rPr>
            <w:rFonts w:hint="eastAsia" w:ascii="仿宋" w:hAnsi="仿宋" w:eastAsia="仿宋"/>
            <w:color w:val="000000" w:themeColor="text1"/>
            <w:sz w:val="32"/>
            <w:szCs w:val="32"/>
          </w:rPr>
          <w:t>组织实施和监督工作。参与指导推动循环经济和生态环保产业发展。</w:t>
        </w:r>
      </w:ins>
    </w:p>
    <w:p>
      <w:pPr>
        <w:numPr>
          <w:ilvl w:val="0"/>
          <w:numId w:val="3"/>
        </w:numPr>
        <w:spacing w:line="588" w:lineRule="exact"/>
        <w:rPr>
          <w:ins w:id="26" w:author="成在坚强，败在固执" w:date="2025-02-12T10:15:00Z"/>
          <w:rFonts w:ascii="仿宋" w:hAnsi="仿宋" w:eastAsia="仿宋"/>
          <w:color w:val="000000" w:themeColor="text1"/>
          <w:sz w:val="32"/>
          <w:szCs w:val="32"/>
        </w:rPr>
      </w:pPr>
      <w:ins w:id="27" w:author="成在坚强，败在固执" w:date="2025-02-12T10:12:00Z">
        <w:r>
          <w:rPr>
            <w:rFonts w:hint="eastAsia" w:ascii="仿宋" w:hAnsi="仿宋" w:eastAsia="仿宋"/>
            <w:color w:val="000000" w:themeColor="text1"/>
            <w:sz w:val="32"/>
            <w:szCs w:val="32"/>
          </w:rPr>
          <w:t>负责</w:t>
        </w:r>
      </w:ins>
      <w:ins w:id="28" w:author="成在坚强，败在固执" w:date="2025-02-12T10:13:00Z">
        <w:r>
          <w:rPr>
            <w:rFonts w:hint="eastAsia" w:ascii="仿宋" w:hAnsi="仿宋" w:eastAsia="仿宋"/>
            <w:color w:val="000000" w:themeColor="text1"/>
            <w:sz w:val="32"/>
            <w:szCs w:val="32"/>
          </w:rPr>
          <w:t>全县</w:t>
        </w:r>
      </w:ins>
      <w:ins w:id="29" w:author="成在坚强，败在固执" w:date="2025-02-12T10:12:00Z">
        <w:r>
          <w:rPr>
            <w:rFonts w:hint="eastAsia" w:ascii="仿宋" w:hAnsi="仿宋" w:eastAsia="仿宋"/>
            <w:color w:val="000000" w:themeColor="text1"/>
            <w:sz w:val="32"/>
            <w:szCs w:val="32"/>
          </w:rPr>
          <w:t>环境污染防治的监督管理。制定</w:t>
        </w:r>
      </w:ins>
      <w:ins w:id="30" w:author="成在坚强，败在固执" w:date="2025-02-12T10:13:00Z">
        <w:r>
          <w:rPr>
            <w:rFonts w:hint="eastAsia" w:ascii="仿宋" w:hAnsi="仿宋" w:eastAsia="仿宋"/>
            <w:color w:val="000000" w:themeColor="text1"/>
            <w:sz w:val="32"/>
            <w:szCs w:val="32"/>
          </w:rPr>
          <w:t>全县大气、水、土壤、噪声、光、恶臭、固体废物、化学品、机动车等的污染防治管理制度并监督实施。会同有关部门监督管理</w:t>
        </w:r>
      </w:ins>
      <w:ins w:id="31" w:author="成在坚强，败在固执" w:date="2025-02-12T10:14:00Z">
        <w:r>
          <w:rPr>
            <w:rFonts w:hint="eastAsia" w:ascii="仿宋" w:hAnsi="仿宋" w:eastAsia="仿宋"/>
            <w:color w:val="000000" w:themeColor="text1"/>
            <w:sz w:val="32"/>
            <w:szCs w:val="32"/>
          </w:rPr>
          <w:t>饮用水水源地生态环境保护工作，组织指导城乡生态环境综合整治工作，监督指导</w:t>
        </w:r>
      </w:ins>
      <w:ins w:id="32" w:author="成在坚强，败在固执" w:date="2025-02-12T10:15:00Z">
        <w:r>
          <w:rPr>
            <w:rFonts w:hint="eastAsia" w:ascii="仿宋" w:hAnsi="仿宋" w:eastAsia="仿宋"/>
            <w:color w:val="000000" w:themeColor="text1"/>
            <w:sz w:val="32"/>
            <w:szCs w:val="32"/>
          </w:rPr>
          <w:t>全县</w:t>
        </w:r>
      </w:ins>
      <w:ins w:id="33" w:author="成在坚强，败在固执" w:date="2025-02-12T10:14:00Z">
        <w:r>
          <w:rPr>
            <w:rFonts w:hint="eastAsia" w:ascii="仿宋" w:hAnsi="仿宋" w:eastAsia="仿宋"/>
            <w:color w:val="000000" w:themeColor="text1"/>
            <w:sz w:val="32"/>
            <w:szCs w:val="32"/>
          </w:rPr>
          <w:t>大气</w:t>
        </w:r>
      </w:ins>
      <w:ins w:id="34" w:author="成在坚强，败在固执" w:date="2025-02-12T10:15:00Z">
        <w:r>
          <w:rPr>
            <w:rFonts w:hint="eastAsia" w:ascii="仿宋" w:hAnsi="仿宋" w:eastAsia="仿宋"/>
            <w:color w:val="000000" w:themeColor="text1"/>
            <w:sz w:val="32"/>
            <w:szCs w:val="32"/>
          </w:rPr>
          <w:t>环境保护工作，组织实施全县大气污染联防联控协作机制。</w:t>
        </w:r>
      </w:ins>
    </w:p>
    <w:p>
      <w:pPr>
        <w:numPr>
          <w:ilvl w:val="0"/>
          <w:numId w:val="3"/>
        </w:numPr>
        <w:spacing w:line="588" w:lineRule="exact"/>
        <w:rPr>
          <w:ins w:id="35" w:author="成在坚强，败在固执" w:date="2025-02-12T10:19:00Z"/>
          <w:rFonts w:ascii="仿宋" w:hAnsi="仿宋" w:eastAsia="仿宋"/>
          <w:color w:val="000000" w:themeColor="text1"/>
          <w:sz w:val="32"/>
          <w:szCs w:val="32"/>
        </w:rPr>
      </w:pPr>
      <w:ins w:id="36" w:author="成在坚强，败在固执" w:date="2025-02-12T10:15:00Z">
        <w:r>
          <w:rPr>
            <w:rFonts w:hint="eastAsia" w:ascii="仿宋" w:hAnsi="仿宋" w:eastAsia="仿宋"/>
            <w:color w:val="000000" w:themeColor="text1"/>
            <w:sz w:val="32"/>
            <w:szCs w:val="32"/>
          </w:rPr>
          <w:t>指导协调和监督生态保护修复工作。组织编制全县</w:t>
        </w:r>
      </w:ins>
      <w:ins w:id="37" w:author="成在坚强，败在固执" w:date="2025-02-12T10:16:00Z">
        <w:r>
          <w:rPr>
            <w:rFonts w:hint="eastAsia" w:ascii="仿宋" w:hAnsi="仿宋" w:eastAsia="仿宋"/>
            <w:color w:val="000000" w:themeColor="text1"/>
            <w:sz w:val="32"/>
            <w:szCs w:val="32"/>
          </w:rPr>
          <w:t>生态保护规划，指导、协调、监督美丽申扎建设和构建国家重要生态安全屏障工作。监督对生态环境有影响的自然资源开发利用活动、重要生态环境建设和生态</w:t>
        </w:r>
      </w:ins>
      <w:ins w:id="38" w:author="成在坚强，败在固执" w:date="2025-02-12T10:17:00Z">
        <w:r>
          <w:rPr>
            <w:rFonts w:hint="eastAsia" w:ascii="仿宋" w:hAnsi="仿宋" w:eastAsia="仿宋"/>
            <w:color w:val="000000" w:themeColor="text1"/>
            <w:sz w:val="32"/>
            <w:szCs w:val="32"/>
          </w:rPr>
          <w:t>破坏恢复工作。组织制定各类自然保护地生态环境监管制度并监督执法监督野生动植物保护、湿地生态环境保护、荒漠化防治等工作。指导</w:t>
        </w:r>
      </w:ins>
      <w:ins w:id="39" w:author="成在坚强，败在固执" w:date="2025-02-12T10:18:00Z">
        <w:r>
          <w:rPr>
            <w:rFonts w:hint="eastAsia" w:ascii="仿宋" w:hAnsi="仿宋" w:eastAsia="仿宋"/>
            <w:color w:val="000000" w:themeColor="text1"/>
            <w:sz w:val="32"/>
            <w:szCs w:val="32"/>
          </w:rPr>
          <w:t>协调和监督农村生态环境保护，监督生物技术环境安全，牵头生物物种（含遗传资源）工作，组织协调生物多样性保护工作，参与生态保护</w:t>
        </w:r>
      </w:ins>
      <w:ins w:id="40" w:author="成在坚强，败在固执" w:date="2025-02-12T10:19:00Z">
        <w:r>
          <w:rPr>
            <w:rFonts w:hint="eastAsia" w:ascii="仿宋" w:hAnsi="仿宋" w:eastAsia="仿宋"/>
            <w:color w:val="000000" w:themeColor="text1"/>
            <w:sz w:val="32"/>
            <w:szCs w:val="32"/>
          </w:rPr>
          <w:t>补偿工作。</w:t>
        </w:r>
      </w:ins>
    </w:p>
    <w:p>
      <w:pPr>
        <w:numPr>
          <w:ilvl w:val="0"/>
          <w:numId w:val="3"/>
        </w:numPr>
        <w:spacing w:line="588" w:lineRule="exact"/>
        <w:rPr>
          <w:ins w:id="41" w:author="成在坚强，败在固执" w:date="2025-02-12T10:42:00Z"/>
          <w:rFonts w:ascii="仿宋" w:hAnsi="仿宋" w:eastAsia="仿宋"/>
          <w:color w:val="000000" w:themeColor="text1"/>
          <w:sz w:val="32"/>
          <w:szCs w:val="32"/>
        </w:rPr>
      </w:pPr>
      <w:ins w:id="42" w:author="成在坚强，败在固执" w:date="2025-02-12T10:19:00Z">
        <w:r>
          <w:rPr>
            <w:rFonts w:hint="eastAsia" w:ascii="仿宋" w:hAnsi="仿宋" w:eastAsia="仿宋"/>
            <w:color w:val="000000" w:themeColor="text1"/>
            <w:sz w:val="32"/>
            <w:szCs w:val="32"/>
          </w:rPr>
          <w:t>负责生态环境准入的监督管理。</w:t>
        </w:r>
      </w:ins>
      <w:ins w:id="43" w:author="成在坚强，败在固执" w:date="2025-02-12T10:40:00Z">
        <w:r>
          <w:rPr>
            <w:rFonts w:hint="eastAsia" w:ascii="仿宋" w:hAnsi="仿宋" w:eastAsia="仿宋"/>
            <w:color w:val="000000" w:themeColor="text1"/>
            <w:sz w:val="32"/>
            <w:szCs w:val="32"/>
          </w:rPr>
          <w:t>受县政府委托，对经济和技术政策、发展规划以及经济开发计划进行环境影响评价。按国家</w:t>
        </w:r>
      </w:ins>
      <w:ins w:id="44" w:author="成在坚强，败在固执" w:date="2025-02-12T10:41:00Z">
        <w:r>
          <w:rPr>
            <w:rFonts w:hint="eastAsia" w:ascii="仿宋" w:hAnsi="仿宋" w:eastAsia="仿宋"/>
            <w:color w:val="000000" w:themeColor="text1"/>
            <w:sz w:val="32"/>
            <w:szCs w:val="32"/>
          </w:rPr>
          <w:t>、</w:t>
        </w:r>
      </w:ins>
      <w:ins w:id="45" w:author="成在坚强，败在固执" w:date="2025-02-12T10:40:00Z">
        <w:r>
          <w:rPr>
            <w:rFonts w:hint="eastAsia" w:ascii="仿宋" w:hAnsi="仿宋" w:eastAsia="仿宋"/>
            <w:color w:val="000000" w:themeColor="text1"/>
            <w:sz w:val="32"/>
            <w:szCs w:val="32"/>
          </w:rPr>
          <w:t>自治区</w:t>
        </w:r>
      </w:ins>
      <w:ins w:id="46" w:author="成在坚强，败在固执" w:date="2025-02-12T10:41:00Z">
        <w:r>
          <w:rPr>
            <w:rFonts w:hint="eastAsia" w:ascii="仿宋" w:hAnsi="仿宋" w:eastAsia="仿宋"/>
            <w:color w:val="000000" w:themeColor="text1"/>
            <w:sz w:val="32"/>
            <w:szCs w:val="32"/>
          </w:rPr>
          <w:t>和那曲市</w:t>
        </w:r>
      </w:ins>
      <w:ins w:id="47" w:author="成在坚强，败在固执" w:date="2025-02-12T10:40:00Z">
        <w:r>
          <w:rPr>
            <w:rFonts w:hint="eastAsia" w:ascii="仿宋" w:hAnsi="仿宋" w:eastAsia="仿宋"/>
            <w:color w:val="000000" w:themeColor="text1"/>
            <w:sz w:val="32"/>
            <w:szCs w:val="32"/>
          </w:rPr>
          <w:t>规定审批或审查开发建设区域、规划</w:t>
        </w:r>
      </w:ins>
      <w:ins w:id="48" w:author="成在坚强，败在固执" w:date="2025-02-12T10:41:00Z">
        <w:r>
          <w:rPr>
            <w:rFonts w:hint="eastAsia" w:ascii="仿宋" w:hAnsi="仿宋" w:eastAsia="仿宋"/>
            <w:color w:val="000000" w:themeColor="text1"/>
            <w:sz w:val="32"/>
            <w:szCs w:val="32"/>
          </w:rPr>
          <w:t>、项目环境影响评价文件。拟订并组织实施全县</w:t>
        </w:r>
      </w:ins>
      <w:ins w:id="49" w:author="成在坚强，败在固执" w:date="2025-02-12T10:42:00Z">
        <w:r>
          <w:rPr>
            <w:rFonts w:hint="eastAsia" w:ascii="仿宋" w:hAnsi="仿宋" w:eastAsia="仿宋"/>
            <w:color w:val="000000" w:themeColor="text1"/>
            <w:sz w:val="32"/>
            <w:szCs w:val="32"/>
          </w:rPr>
          <w:t>生态环境准入清单。</w:t>
        </w:r>
      </w:ins>
    </w:p>
    <w:p>
      <w:pPr>
        <w:numPr>
          <w:ilvl w:val="0"/>
          <w:numId w:val="3"/>
        </w:numPr>
        <w:spacing w:line="588" w:lineRule="exact"/>
        <w:rPr>
          <w:ins w:id="50" w:author="成在坚强，败在固执" w:date="2025-02-12T10:45:00Z"/>
          <w:rFonts w:ascii="仿宋" w:hAnsi="仿宋" w:eastAsia="仿宋"/>
          <w:color w:val="000000" w:themeColor="text1"/>
          <w:sz w:val="32"/>
          <w:szCs w:val="32"/>
        </w:rPr>
      </w:pPr>
      <w:ins w:id="51" w:author="成在坚强，败在固执" w:date="2025-02-12T10:42:00Z">
        <w:r>
          <w:rPr>
            <w:rFonts w:hint="eastAsia" w:ascii="仿宋" w:hAnsi="仿宋" w:eastAsia="仿宋"/>
            <w:color w:val="000000" w:themeColor="text1"/>
            <w:sz w:val="32"/>
            <w:szCs w:val="32"/>
          </w:rPr>
          <w:t>负责生态环境监测工作。贯彻落实国家生态环境监测制度和规范，规定</w:t>
        </w:r>
      </w:ins>
      <w:ins w:id="52" w:author="成在坚强，败在固执" w:date="2025-02-12T10:43:00Z">
        <w:r>
          <w:rPr>
            <w:rFonts w:hint="eastAsia" w:ascii="仿宋" w:hAnsi="仿宋" w:eastAsia="仿宋"/>
            <w:color w:val="000000" w:themeColor="text1"/>
            <w:sz w:val="32"/>
            <w:szCs w:val="32"/>
          </w:rPr>
          <w:t>申扎县</w:t>
        </w:r>
      </w:ins>
      <w:ins w:id="53" w:author="成在坚强，败在固执" w:date="2025-02-12T10:42:00Z">
        <w:r>
          <w:rPr>
            <w:rFonts w:hint="eastAsia" w:ascii="仿宋" w:hAnsi="仿宋" w:eastAsia="仿宋"/>
            <w:color w:val="000000" w:themeColor="text1"/>
            <w:sz w:val="32"/>
            <w:szCs w:val="32"/>
          </w:rPr>
          <w:t>相关标准并监督实施。会同</w:t>
        </w:r>
      </w:ins>
      <w:ins w:id="54" w:author="成在坚强，败在固执" w:date="2025-02-12T10:43:00Z">
        <w:r>
          <w:rPr>
            <w:rFonts w:hint="eastAsia" w:ascii="仿宋" w:hAnsi="仿宋" w:eastAsia="仿宋"/>
            <w:color w:val="000000" w:themeColor="text1"/>
            <w:sz w:val="32"/>
            <w:szCs w:val="32"/>
          </w:rPr>
          <w:t>有关部门统一规划生态环境质量监测站点布设。组织实施生态环境质量监测、污染源监督性监测、温室气体减排监测、应急监测</w:t>
        </w:r>
      </w:ins>
      <w:ins w:id="55" w:author="成在坚强，败在固执" w:date="2025-02-12T10:44:00Z">
        <w:r>
          <w:rPr>
            <w:rFonts w:hint="eastAsia" w:ascii="仿宋" w:hAnsi="仿宋" w:eastAsia="仿宋"/>
            <w:color w:val="000000" w:themeColor="text1"/>
            <w:sz w:val="32"/>
            <w:szCs w:val="32"/>
          </w:rPr>
          <w:t>。组织对生态环境质量情况进行调查评价、预警预测，组织建设和管理全市生态环境监测网和</w:t>
        </w:r>
      </w:ins>
      <w:ins w:id="56" w:author="成在坚强，败在固执" w:date="2025-02-12T10:45:00Z">
        <w:r>
          <w:rPr>
            <w:rFonts w:hint="eastAsia" w:ascii="仿宋" w:hAnsi="仿宋" w:eastAsia="仿宋"/>
            <w:color w:val="000000" w:themeColor="text1"/>
            <w:sz w:val="32"/>
            <w:szCs w:val="32"/>
          </w:rPr>
          <w:t>全县</w:t>
        </w:r>
      </w:ins>
      <w:ins w:id="57" w:author="成在坚强，败在固执" w:date="2025-02-12T10:44:00Z">
        <w:r>
          <w:rPr>
            <w:rFonts w:hint="eastAsia" w:ascii="仿宋" w:hAnsi="仿宋" w:eastAsia="仿宋"/>
            <w:color w:val="000000" w:themeColor="text1"/>
            <w:sz w:val="32"/>
            <w:szCs w:val="32"/>
          </w:rPr>
          <w:t>生态环境信息网。建立和实行生态环境质量公告制度，统一发布</w:t>
        </w:r>
      </w:ins>
      <w:ins w:id="58" w:author="成在坚强，败在固执" w:date="2025-02-12T10:45:00Z">
        <w:r>
          <w:rPr>
            <w:rFonts w:hint="eastAsia" w:ascii="仿宋" w:hAnsi="仿宋" w:eastAsia="仿宋"/>
            <w:color w:val="000000" w:themeColor="text1"/>
            <w:sz w:val="32"/>
            <w:szCs w:val="32"/>
          </w:rPr>
          <w:t>全县生态环境综合性报告和重大生态环境信息。</w:t>
        </w:r>
      </w:ins>
    </w:p>
    <w:p>
      <w:pPr>
        <w:numPr>
          <w:ilvl w:val="0"/>
          <w:numId w:val="3"/>
        </w:numPr>
        <w:spacing w:line="588" w:lineRule="exact"/>
        <w:rPr>
          <w:ins w:id="59" w:author="成在坚强，败在固执" w:date="2025-02-12T10:46:00Z"/>
          <w:rFonts w:ascii="仿宋" w:hAnsi="仿宋" w:eastAsia="仿宋"/>
          <w:color w:val="000000" w:themeColor="text1"/>
          <w:sz w:val="32"/>
          <w:szCs w:val="32"/>
        </w:rPr>
      </w:pPr>
      <w:ins w:id="60" w:author="成在坚强，败在固执" w:date="2025-02-12T10:45:00Z">
        <w:r>
          <w:rPr>
            <w:rFonts w:hint="eastAsia" w:ascii="仿宋" w:hAnsi="仿宋" w:eastAsia="仿宋"/>
            <w:color w:val="000000" w:themeColor="text1"/>
            <w:sz w:val="32"/>
            <w:szCs w:val="32"/>
          </w:rPr>
          <w:t>负责应对气候变化工作。组织拟订申扎县应对</w:t>
        </w:r>
      </w:ins>
      <w:ins w:id="61" w:author="成在坚强，败在固执" w:date="2025-02-12T10:46:00Z">
        <w:r>
          <w:rPr>
            <w:rFonts w:hint="eastAsia" w:ascii="仿宋" w:hAnsi="仿宋" w:eastAsia="仿宋"/>
            <w:color w:val="000000" w:themeColor="text1"/>
            <w:sz w:val="32"/>
            <w:szCs w:val="32"/>
          </w:rPr>
          <w:t>气候变化及温室气体减排规划和政策并监督实施。</w:t>
        </w:r>
      </w:ins>
    </w:p>
    <w:p>
      <w:pPr>
        <w:numPr>
          <w:ilvl w:val="0"/>
          <w:numId w:val="3"/>
        </w:numPr>
        <w:spacing w:line="588" w:lineRule="exact"/>
        <w:rPr>
          <w:ins w:id="62" w:author="成在坚强，败在固执" w:date="2025-02-12T10:49:00Z"/>
          <w:rFonts w:ascii="仿宋" w:hAnsi="仿宋" w:eastAsia="仿宋"/>
          <w:color w:val="000000" w:themeColor="text1"/>
          <w:sz w:val="32"/>
          <w:szCs w:val="32"/>
        </w:rPr>
      </w:pPr>
      <w:ins w:id="63" w:author="成在坚强，败在固执" w:date="2025-02-12T10:46:00Z">
        <w:r>
          <w:rPr>
            <w:rFonts w:hint="eastAsia" w:ascii="仿宋" w:hAnsi="仿宋" w:eastAsia="仿宋"/>
            <w:color w:val="000000" w:themeColor="text1"/>
            <w:sz w:val="32"/>
            <w:szCs w:val="32"/>
          </w:rPr>
          <w:t>开展生态环境保护对外合作交流。受申扎县县政府委托，参与处理生态环境保护对外事务，开展对外</w:t>
        </w:r>
      </w:ins>
      <w:ins w:id="64" w:author="成在坚强，败在固执" w:date="2025-02-12T10:47:00Z">
        <w:r>
          <w:rPr>
            <w:rFonts w:hint="eastAsia" w:ascii="仿宋" w:hAnsi="仿宋" w:eastAsia="仿宋"/>
            <w:color w:val="000000" w:themeColor="text1"/>
            <w:sz w:val="32"/>
            <w:szCs w:val="32"/>
          </w:rPr>
          <w:t>合作与交流。</w:t>
        </w:r>
      </w:ins>
    </w:p>
    <w:p>
      <w:pPr>
        <w:numPr>
          <w:ilvl w:val="0"/>
          <w:numId w:val="3"/>
        </w:numPr>
        <w:spacing w:line="588" w:lineRule="exact"/>
        <w:rPr>
          <w:ins w:id="65" w:author="成在坚强，败在固执" w:date="2025-02-12T10:49:00Z"/>
          <w:rFonts w:ascii="仿宋" w:hAnsi="仿宋" w:eastAsia="仿宋"/>
          <w:color w:val="000000" w:themeColor="text1"/>
          <w:sz w:val="32"/>
          <w:szCs w:val="32"/>
        </w:rPr>
      </w:pPr>
      <w:ins w:id="66" w:author="成在坚强，败在固执" w:date="2025-02-12T10:49:00Z">
        <w:r>
          <w:rPr>
            <w:rFonts w:hint="eastAsia" w:ascii="仿宋" w:hAnsi="仿宋" w:eastAsia="仿宋"/>
            <w:color w:val="000000" w:themeColor="text1"/>
            <w:sz w:val="32"/>
            <w:szCs w:val="32"/>
          </w:rPr>
          <w:t>配合开展生态环境保护督察。配合做好中央和自治区生态环境保护督察工作，贯彻落实中央和自治区生态环境保护决策部署。</w:t>
        </w:r>
      </w:ins>
    </w:p>
    <w:p>
      <w:pPr>
        <w:numPr>
          <w:ilvl w:val="0"/>
          <w:numId w:val="3"/>
        </w:numPr>
        <w:spacing w:line="588" w:lineRule="exact"/>
        <w:rPr>
          <w:ins w:id="67" w:author="成在坚强，败在固执" w:date="2025-02-12T10:50:00Z"/>
          <w:rFonts w:ascii="仿宋" w:hAnsi="仿宋" w:eastAsia="仿宋"/>
          <w:color w:val="000000" w:themeColor="text1"/>
          <w:sz w:val="32"/>
          <w:szCs w:val="32"/>
        </w:rPr>
      </w:pPr>
      <w:ins w:id="68" w:author="成在坚强，败在固执" w:date="2025-02-12T10:50:00Z">
        <w:r>
          <w:rPr>
            <w:rFonts w:hint="eastAsia" w:ascii="仿宋" w:hAnsi="仿宋" w:eastAsia="仿宋"/>
            <w:color w:val="000000" w:themeColor="text1"/>
            <w:sz w:val="32"/>
            <w:szCs w:val="32"/>
          </w:rPr>
          <w:t>统一负责生态环境监督执法。组织开展全市生态环境保护执法检查活动。查处生态环境违法问题。指导全市生态环境保护综合执法队伍建设和业务工作。</w:t>
        </w:r>
      </w:ins>
    </w:p>
    <w:p>
      <w:pPr>
        <w:numPr>
          <w:ilvl w:val="0"/>
          <w:numId w:val="3"/>
        </w:numPr>
        <w:spacing w:line="588" w:lineRule="exact"/>
        <w:rPr>
          <w:ins w:id="69" w:author="成在坚强，败在固执" w:date="2025-02-12T10:52:00Z"/>
          <w:rFonts w:ascii="仿宋" w:hAnsi="仿宋" w:eastAsia="仿宋"/>
          <w:color w:val="000000" w:themeColor="text1"/>
          <w:sz w:val="32"/>
          <w:szCs w:val="32"/>
        </w:rPr>
      </w:pPr>
      <w:ins w:id="70" w:author="成在坚强，败在固执" w:date="2025-02-12T10:50:00Z">
        <w:r>
          <w:rPr>
            <w:rFonts w:hint="eastAsia" w:ascii="仿宋" w:hAnsi="仿宋" w:eastAsia="仿宋"/>
            <w:color w:val="000000" w:themeColor="text1"/>
            <w:sz w:val="32"/>
            <w:szCs w:val="32"/>
          </w:rPr>
          <w:t>组织指导</w:t>
        </w:r>
      </w:ins>
      <w:ins w:id="71" w:author="成在坚强，败在固执" w:date="2025-02-12T10:51:00Z">
        <w:r>
          <w:rPr>
            <w:rFonts w:hint="eastAsia" w:ascii="仿宋" w:hAnsi="仿宋" w:eastAsia="仿宋"/>
            <w:color w:val="000000" w:themeColor="text1"/>
            <w:sz w:val="32"/>
            <w:szCs w:val="32"/>
          </w:rPr>
          <w:t>和协调全县生态环境宣传教育工作，制定并组织实施生态环境保护宣传教育纲要，推动社会组织和公众参与生态环境保护。开展生态环境科技工作，组织生态环境</w:t>
        </w:r>
      </w:ins>
      <w:ins w:id="72" w:author="成在坚强，败在固执" w:date="2025-02-12T10:52:00Z">
        <w:r>
          <w:rPr>
            <w:rFonts w:hint="eastAsia" w:ascii="仿宋" w:hAnsi="仿宋" w:eastAsia="仿宋"/>
            <w:color w:val="000000" w:themeColor="text1"/>
            <w:sz w:val="32"/>
            <w:szCs w:val="32"/>
          </w:rPr>
          <w:t>科学研究和技术工程示范，推动生态环境技术管理体系建设。</w:t>
        </w:r>
      </w:ins>
    </w:p>
    <w:p>
      <w:pPr>
        <w:numPr>
          <w:ilvl w:val="0"/>
          <w:numId w:val="3"/>
        </w:numPr>
        <w:spacing w:line="588" w:lineRule="exact"/>
        <w:rPr>
          <w:ins w:id="73" w:author="成在坚强，败在固执" w:date="2025-02-12T10:54:00Z"/>
          <w:rFonts w:ascii="仿宋" w:hAnsi="仿宋" w:eastAsia="仿宋"/>
          <w:color w:val="000000" w:themeColor="text1"/>
          <w:sz w:val="32"/>
          <w:szCs w:val="32"/>
        </w:rPr>
      </w:pPr>
      <w:ins w:id="74" w:author="成在坚强，败在固执" w:date="2025-02-12T10:52:00Z">
        <w:r>
          <w:rPr>
            <w:rFonts w:hint="eastAsia" w:ascii="仿宋" w:hAnsi="仿宋" w:eastAsia="仿宋"/>
            <w:color w:val="000000" w:themeColor="text1"/>
            <w:sz w:val="32"/>
            <w:szCs w:val="32"/>
          </w:rPr>
          <w:t>负责辐射安全的监督管理。负责放射性同位素与射线装置生产、销售、使用安全</w:t>
        </w:r>
      </w:ins>
      <w:ins w:id="75" w:author="成在坚强，败在固执" w:date="2025-02-12T10:53:00Z">
        <w:r>
          <w:rPr>
            <w:rFonts w:hint="eastAsia" w:ascii="仿宋" w:hAnsi="仿宋" w:eastAsia="仿宋"/>
            <w:color w:val="000000" w:themeColor="text1"/>
            <w:sz w:val="32"/>
            <w:szCs w:val="32"/>
          </w:rPr>
          <w:t>许可审批。监督管理放射性同位素与射线装置安全，监督管理电磁辐射、伴有放射性矿产资源开发利用中的污染防治。组织开展辐射环境监测。开展辐射环境</w:t>
        </w:r>
      </w:ins>
      <w:ins w:id="76" w:author="成在坚强，败在固执" w:date="2025-02-12T10:54:00Z">
        <w:r>
          <w:rPr>
            <w:rFonts w:hint="eastAsia" w:ascii="仿宋" w:hAnsi="仿宋" w:eastAsia="仿宋"/>
            <w:color w:val="000000" w:themeColor="text1"/>
            <w:sz w:val="32"/>
            <w:szCs w:val="32"/>
          </w:rPr>
          <w:t>的应急响应、事故处理及事故原因调查工作。</w:t>
        </w:r>
      </w:ins>
    </w:p>
    <w:p>
      <w:pPr>
        <w:numPr>
          <w:ilvl w:val="0"/>
          <w:numId w:val="3"/>
        </w:numPr>
        <w:spacing w:line="588" w:lineRule="exact"/>
        <w:rPr>
          <w:ins w:id="77" w:author="成在坚强，败在固执" w:date="2025-02-12T10:54:00Z"/>
          <w:rFonts w:ascii="仿宋" w:hAnsi="仿宋" w:eastAsia="仿宋"/>
          <w:color w:val="000000" w:themeColor="text1"/>
          <w:sz w:val="32"/>
          <w:szCs w:val="32"/>
        </w:rPr>
      </w:pPr>
      <w:ins w:id="78" w:author="成在坚强，败在固执" w:date="2025-02-12T10:54:00Z">
        <w:r>
          <w:rPr>
            <w:rFonts w:hint="eastAsia" w:ascii="仿宋" w:hAnsi="仿宋" w:eastAsia="仿宋"/>
            <w:color w:val="000000" w:themeColor="text1"/>
            <w:sz w:val="32"/>
            <w:szCs w:val="32"/>
          </w:rPr>
          <w:t>负责本行业领域安全生产监督管理和应急处置工作。</w:t>
        </w:r>
      </w:ins>
    </w:p>
    <w:p>
      <w:pPr>
        <w:numPr>
          <w:ilvl w:val="0"/>
          <w:numId w:val="3"/>
        </w:numPr>
        <w:spacing w:line="588" w:lineRule="exact"/>
        <w:rPr>
          <w:ins w:id="79" w:author="成在坚强，败在固执" w:date="2025-02-12T10:54:00Z"/>
          <w:rFonts w:ascii="仿宋" w:hAnsi="仿宋" w:eastAsia="仿宋"/>
          <w:color w:val="000000" w:themeColor="text1"/>
          <w:sz w:val="32"/>
          <w:szCs w:val="32"/>
        </w:rPr>
      </w:pPr>
      <w:ins w:id="80" w:author="成在坚强，败在固执" w:date="2025-02-12T10:54:00Z">
        <w:r>
          <w:rPr>
            <w:rFonts w:hint="eastAsia" w:ascii="仿宋" w:hAnsi="仿宋" w:eastAsia="仿宋"/>
            <w:color w:val="000000" w:themeColor="text1"/>
            <w:sz w:val="32"/>
            <w:szCs w:val="32"/>
          </w:rPr>
          <w:t>完成县委、县政府交办的其他任务。</w:t>
        </w:r>
      </w:ins>
    </w:p>
    <w:p>
      <w:pPr>
        <w:numPr>
          <w:ilvl w:val="0"/>
          <w:numId w:val="3"/>
        </w:numPr>
        <w:spacing w:line="588" w:lineRule="exact"/>
        <w:rPr>
          <w:rFonts w:ascii="仿宋" w:hAnsi="仿宋" w:eastAsia="仿宋"/>
          <w:color w:val="000000" w:themeColor="text1"/>
          <w:sz w:val="32"/>
          <w:szCs w:val="32"/>
        </w:rPr>
      </w:pPr>
      <w:ins w:id="81" w:author="成在坚强，败在固执" w:date="2025-02-12T10:55:00Z">
        <w:r>
          <w:rPr>
            <w:rFonts w:hint="eastAsia" w:ascii="仿宋" w:hAnsi="仿宋" w:eastAsia="仿宋"/>
            <w:sz w:val="32"/>
            <w:szCs w:val="32"/>
          </w:rPr>
          <w:t>职能转变。县生态环境局要统一行使生态和城乡各类污染排放监管与行政执法职责，切实履行</w:t>
        </w:r>
      </w:ins>
      <w:ins w:id="82" w:author="成在坚强，败在固执" w:date="2025-02-12T10:56:00Z">
        <w:r>
          <w:rPr>
            <w:rFonts w:hint="eastAsia" w:ascii="仿宋" w:hAnsi="仿宋" w:eastAsia="仿宋"/>
            <w:sz w:val="32"/>
            <w:szCs w:val="32"/>
          </w:rPr>
          <w:t>监管责任，全面落实大气、水、土壤污染防治行动计划。构建政府为主导、企业为主体、社会组织和公众共同参与的生态环境治理体系，实行最严格</w:t>
        </w:r>
      </w:ins>
      <w:ins w:id="83" w:author="成在坚强，败在固执" w:date="2025-02-12T10:57:00Z">
        <w:r>
          <w:rPr>
            <w:rFonts w:hint="eastAsia" w:ascii="仿宋" w:hAnsi="仿宋" w:eastAsia="仿宋"/>
            <w:sz w:val="32"/>
            <w:szCs w:val="32"/>
          </w:rPr>
          <w:t>的生态环境保护制度，严守生态保护红线和环境质量底线，坚决打好污染防治攻坚战，构筑国家生态安全屏障，推进美丽申扎建设，</w:t>
        </w:r>
      </w:ins>
      <w:ins w:id="84" w:author="成在坚强，败在固执" w:date="2025-02-12T10:58:00Z">
        <w:r>
          <w:rPr>
            <w:rFonts w:hint="eastAsia" w:ascii="仿宋" w:hAnsi="仿宋" w:eastAsia="仿宋"/>
            <w:sz w:val="32"/>
            <w:szCs w:val="32"/>
          </w:rPr>
          <w:t>打造西藏国家生态文明高地。</w:t>
        </w:r>
      </w:ins>
    </w:p>
    <w:p>
      <w:pPr>
        <w:spacing w:line="578" w:lineRule="exact"/>
        <w:ind w:firstLine="640" w:firstLineChars="200"/>
        <w:rPr>
          <w:rFonts w:ascii="黑体" w:hAnsi="黑体" w:eastAsia="黑体" w:cs="黑体"/>
          <w:sz w:val="32"/>
          <w:szCs w:val="32"/>
        </w:rPr>
      </w:pPr>
      <w:bookmarkStart w:id="13" w:name="_Toc24059_WPSOffice_Level2"/>
      <w:bookmarkStart w:id="14" w:name="_Toc24474_WPSOffice_Level2"/>
      <w:bookmarkStart w:id="15" w:name="_Toc6572_WPSOffice_Level2"/>
      <w:bookmarkStart w:id="16" w:name="_Toc17796_WPSOffice_Level2"/>
      <w:bookmarkStart w:id="17" w:name="_Toc4833_WPSOffice_Level2"/>
      <w:r>
        <w:rPr>
          <w:rFonts w:hint="eastAsia" w:ascii="黑体" w:hAnsi="黑体" w:eastAsia="黑体" w:cs="黑体"/>
          <w:sz w:val="32"/>
          <w:szCs w:val="32"/>
        </w:rPr>
        <w:t>二、机构设置</w:t>
      </w:r>
      <w:bookmarkEnd w:id="13"/>
      <w:bookmarkEnd w:id="14"/>
      <w:bookmarkEnd w:id="15"/>
      <w:bookmarkEnd w:id="16"/>
      <w:bookmarkEnd w:id="17"/>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纳入申扎县环保局机关</w:t>
      </w:r>
      <w:r>
        <w:rPr>
          <w:rFonts w:ascii="仿宋_GB2312" w:hAnsi="ˎ̥" w:eastAsia="仿宋_GB2312"/>
          <w:sz w:val="32"/>
          <w:szCs w:val="32"/>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rPr>
        <w:t>1</w:t>
      </w:r>
      <w:r>
        <w:rPr>
          <w:rFonts w:hint="eastAsia" w:ascii="仿宋_GB2312" w:hAnsi="ˎ̥" w:eastAsia="仿宋_GB2312"/>
          <w:sz w:val="32"/>
          <w:szCs w:val="32"/>
        </w:rPr>
        <w:t>个，包括：</w:t>
      </w:r>
    </w:p>
    <w:p>
      <w:pPr>
        <w:spacing w:line="578" w:lineRule="exact"/>
        <w:ind w:firstLine="640" w:firstLineChars="200"/>
        <w:rPr>
          <w:rFonts w:ascii="方正楷体_GBK" w:hAnsi="方正楷体_GBK" w:eastAsia="方正楷体_GBK" w:cs="方正楷体_GBK"/>
          <w:sz w:val="32"/>
          <w:szCs w:val="32"/>
        </w:rPr>
      </w:pPr>
      <w:bookmarkStart w:id="18" w:name="_Toc24421_WPSOffice_Level2"/>
      <w:bookmarkStart w:id="19" w:name="_Toc25738_WPSOffice_Level2"/>
      <w:r>
        <w:rPr>
          <w:rFonts w:hint="eastAsia" w:ascii="方正楷体_GBK" w:hAnsi="方正楷体_GBK" w:eastAsia="方正楷体_GBK" w:cs="方正楷体_GBK"/>
          <w:sz w:val="32"/>
          <w:szCs w:val="32"/>
        </w:rPr>
        <w:t>（一）申扎县环保局机关部门本级</w:t>
      </w:r>
      <w:bookmarkEnd w:id="18"/>
      <w:bookmarkEnd w:id="19"/>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（注：如果是基层预算单位，没有下属单位的，可只说明单位内设机构即可。）</w:t>
      </w:r>
    </w:p>
    <w:p>
      <w:pPr>
        <w:spacing w:line="578" w:lineRule="exact"/>
        <w:jc w:val="center"/>
        <w:rPr>
          <w:rFonts w:ascii="黑体" w:hAnsi="ˎ̥" w:eastAsia="黑体"/>
          <w:sz w:val="32"/>
          <w:szCs w:val="32"/>
        </w:rPr>
      </w:pPr>
      <w:bookmarkStart w:id="20" w:name="_Toc8164_WPSOffice_Level1"/>
      <w:bookmarkStart w:id="21" w:name="_Toc6234_WPSOffice_Level1"/>
      <w:bookmarkStart w:id="22" w:name="_Toc30451_WPSOffice_Level1"/>
      <w:bookmarkStart w:id="23" w:name="_Toc15521_WPSOffice_Level1"/>
      <w:bookmarkStart w:id="24" w:name="_Toc30690_WPSOffice_Level1"/>
      <w:bookmarkStart w:id="25" w:name="_Toc28253_WPSOffice_Level1"/>
      <w:bookmarkStart w:id="26" w:name="_Toc4029_WPSOffice_Level2"/>
      <w:bookmarkStart w:id="27" w:name="_Toc11518_WPSOffice_Level2"/>
      <w:bookmarkStart w:id="28" w:name="_Toc8867_WPSOffice_Level2"/>
      <w:bookmarkStart w:id="29" w:name="_Toc32695_WPSOffice_Level2"/>
      <w:bookmarkStart w:id="30" w:name="_Toc6211_WPSOffice_Level2"/>
      <w:bookmarkStart w:id="31" w:name="_Toc32472_WPSOffice_Level2"/>
    </w:p>
    <w:p>
      <w:pPr>
        <w:spacing w:line="578" w:lineRule="exact"/>
        <w:jc w:val="center"/>
        <w:rPr>
          <w:rFonts w:ascii="黑体" w:hAnsi="ˎ̥" w:eastAsia="黑体"/>
          <w:sz w:val="32"/>
          <w:szCs w:val="32"/>
        </w:rPr>
      </w:pPr>
      <w:r>
        <w:rPr>
          <w:rFonts w:hint="eastAsia" w:ascii="黑体" w:hAnsi="ˎ̥" w:eastAsia="黑体"/>
          <w:sz w:val="32"/>
          <w:szCs w:val="32"/>
        </w:rPr>
        <w:t xml:space="preserve">第二部分  </w:t>
      </w:r>
      <w:r>
        <w:rPr>
          <w:rFonts w:ascii="黑体" w:hAnsi="ˎ̥" w:eastAsia="黑体"/>
          <w:sz w:val="32"/>
          <w:szCs w:val="32"/>
        </w:rPr>
        <w:t>2024</w:t>
      </w:r>
      <w:r>
        <w:rPr>
          <w:rFonts w:hint="eastAsia" w:ascii="黑体" w:hAnsi="ˎ̥" w:eastAsia="黑体"/>
          <w:sz w:val="32"/>
          <w:szCs w:val="32"/>
        </w:rPr>
        <w:t>年度部门决算公开报表</w:t>
      </w:r>
      <w:bookmarkEnd w:id="20"/>
      <w:bookmarkEnd w:id="21"/>
      <w:bookmarkEnd w:id="22"/>
      <w:bookmarkEnd w:id="23"/>
      <w:bookmarkEnd w:id="24"/>
      <w:bookmarkEnd w:id="25"/>
    </w:p>
    <w:p>
      <w:pPr>
        <w:spacing w:line="578" w:lineRule="exact"/>
        <w:ind w:firstLine="645"/>
        <w:rPr>
          <w:rFonts w:ascii="黑体" w:hAnsi="黑体" w:eastAsia="黑体" w:cs="黑体"/>
          <w:sz w:val="32"/>
          <w:szCs w:val="32"/>
        </w:rPr>
      </w:pPr>
    </w:p>
    <w:p>
      <w:pPr>
        <w:spacing w:line="578" w:lineRule="exact"/>
        <w:ind w:firstLine="645"/>
        <w:rPr>
          <w:rFonts w:ascii="黑体" w:hAnsi="黑体" w:eastAsia="黑体" w:cs="黑体"/>
          <w:sz w:val="32"/>
          <w:szCs w:val="32"/>
        </w:rPr>
      </w:pPr>
      <w:r>
        <w:rPr>
          <w:rFonts w:hint="eastAsia" w:ascii="黑体" w:hAnsi="黑体" w:eastAsia="黑体" w:cs="黑体"/>
          <w:sz w:val="32"/>
          <w:szCs w:val="32"/>
        </w:rPr>
        <w:t>一、收入支出决算公开表</w:t>
      </w:r>
      <w:bookmarkEnd w:id="26"/>
      <w:bookmarkEnd w:id="27"/>
      <w:bookmarkEnd w:id="28"/>
      <w:bookmarkEnd w:id="29"/>
      <w:bookmarkEnd w:id="30"/>
      <w:bookmarkEnd w:id="31"/>
    </w:p>
    <w:p>
      <w:pPr>
        <w:spacing w:line="578" w:lineRule="exact"/>
        <w:ind w:firstLine="645"/>
        <w:rPr>
          <w:rFonts w:ascii="黑体" w:hAnsi="黑体" w:eastAsia="黑体" w:cs="黑体"/>
          <w:sz w:val="32"/>
          <w:szCs w:val="32"/>
        </w:rPr>
      </w:pPr>
      <w:bookmarkStart w:id="32" w:name="_Toc25608_WPSOffice_Level2"/>
      <w:bookmarkStart w:id="33" w:name="_Toc28622_WPSOffice_Level2"/>
      <w:bookmarkStart w:id="34" w:name="_Toc26621_WPSOffice_Level2"/>
      <w:bookmarkStart w:id="35" w:name="_Toc23139_WPSOffice_Level2"/>
      <w:bookmarkStart w:id="36" w:name="_Toc30334_WPSOffice_Level2"/>
      <w:bookmarkStart w:id="37" w:name="_Toc14349_WPSOffice_Level2"/>
      <w:r>
        <w:rPr>
          <w:rFonts w:hint="eastAsia" w:ascii="黑体" w:hAnsi="黑体" w:eastAsia="黑体" w:cs="黑体"/>
          <w:sz w:val="32"/>
          <w:szCs w:val="32"/>
        </w:rPr>
        <w:t>二、收入决算公开表</w:t>
      </w:r>
      <w:bookmarkEnd w:id="32"/>
      <w:bookmarkEnd w:id="33"/>
      <w:bookmarkEnd w:id="34"/>
      <w:bookmarkEnd w:id="35"/>
      <w:bookmarkEnd w:id="36"/>
      <w:bookmarkEnd w:id="37"/>
      <w:bookmarkStart w:id="38" w:name="_Toc17626_WPSOffice_Level2"/>
      <w:bookmarkStart w:id="39" w:name="_Toc17858_WPSOffice_Level2"/>
      <w:bookmarkStart w:id="40" w:name="_Toc14658_WPSOffice_Level2"/>
      <w:bookmarkStart w:id="41" w:name="_Toc3262_WPSOffice_Level2"/>
      <w:bookmarkStart w:id="42" w:name="_Toc5489_WPSOffice_Level2"/>
      <w:bookmarkStart w:id="43" w:name="_Toc13854_WPSOffice_Level2"/>
    </w:p>
    <w:p>
      <w:pPr>
        <w:spacing w:line="578" w:lineRule="exact"/>
        <w:ind w:firstLine="645"/>
        <w:rPr>
          <w:rFonts w:ascii="黑体" w:hAnsi="黑体" w:eastAsia="黑体" w:cs="黑体"/>
          <w:sz w:val="32"/>
          <w:szCs w:val="32"/>
        </w:rPr>
      </w:pPr>
      <w:r>
        <w:rPr>
          <w:rFonts w:hint="eastAsia" w:ascii="黑体" w:hAnsi="黑体" w:eastAsia="黑体" w:cs="黑体"/>
          <w:sz w:val="32"/>
          <w:szCs w:val="32"/>
        </w:rPr>
        <w:t>三、支出决算公开表</w:t>
      </w:r>
      <w:bookmarkEnd w:id="38"/>
      <w:bookmarkEnd w:id="39"/>
      <w:bookmarkEnd w:id="40"/>
      <w:bookmarkEnd w:id="41"/>
      <w:bookmarkEnd w:id="42"/>
      <w:bookmarkEnd w:id="43"/>
      <w:bookmarkStart w:id="44" w:name="_Toc23591_WPSOffice_Level2"/>
      <w:bookmarkStart w:id="45" w:name="_Toc23493_WPSOffice_Level2"/>
      <w:bookmarkStart w:id="46" w:name="_Toc13701_WPSOffice_Level2"/>
      <w:bookmarkStart w:id="47" w:name="_Toc4265_WPSOffice_Level2"/>
      <w:bookmarkStart w:id="48" w:name="_Toc21415_WPSOffice_Level2"/>
      <w:bookmarkStart w:id="49" w:name="_Toc7988_WPSOffice_Level2"/>
    </w:p>
    <w:p>
      <w:pPr>
        <w:spacing w:line="578" w:lineRule="exact"/>
        <w:ind w:firstLine="645"/>
        <w:rPr>
          <w:rFonts w:ascii="黑体" w:hAnsi="黑体" w:eastAsia="黑体" w:cs="黑体"/>
          <w:sz w:val="32"/>
          <w:szCs w:val="32"/>
        </w:rPr>
      </w:pPr>
      <w:r>
        <w:rPr>
          <w:rFonts w:hint="eastAsia" w:ascii="黑体" w:hAnsi="黑体" w:eastAsia="黑体" w:cs="黑体"/>
          <w:sz w:val="32"/>
          <w:szCs w:val="32"/>
        </w:rPr>
        <w:t>四、财政拨款收入支出决算公开表</w:t>
      </w:r>
      <w:bookmarkEnd w:id="44"/>
      <w:bookmarkEnd w:id="45"/>
      <w:bookmarkEnd w:id="46"/>
      <w:bookmarkEnd w:id="47"/>
      <w:bookmarkEnd w:id="48"/>
      <w:bookmarkEnd w:id="49"/>
    </w:p>
    <w:p>
      <w:pPr>
        <w:spacing w:line="578" w:lineRule="exact"/>
        <w:ind w:firstLine="645"/>
        <w:rPr>
          <w:rFonts w:ascii="黑体" w:hAnsi="黑体" w:eastAsia="黑体" w:cs="黑体"/>
          <w:sz w:val="32"/>
          <w:szCs w:val="32"/>
        </w:rPr>
      </w:pPr>
      <w:bookmarkStart w:id="50" w:name="_Toc7879_WPSOffice_Level2"/>
      <w:bookmarkStart w:id="51" w:name="_Toc25166_WPSOffice_Level2"/>
      <w:bookmarkStart w:id="52" w:name="_Toc23829_WPSOffice_Level2"/>
      <w:bookmarkStart w:id="53" w:name="_Toc22783_WPSOffice_Level2"/>
      <w:bookmarkStart w:id="54" w:name="_Toc13516_WPSOffice_Level2"/>
      <w:bookmarkStart w:id="55" w:name="_Toc2158_WPSOffice_Level2"/>
      <w:r>
        <w:rPr>
          <w:rFonts w:hint="eastAsia" w:ascii="黑体" w:hAnsi="黑体" w:eastAsia="黑体" w:cs="黑体"/>
          <w:sz w:val="32"/>
          <w:szCs w:val="32"/>
        </w:rPr>
        <w:t>五、一般公共预算财政拨款收入支出决算</w:t>
      </w:r>
      <w:bookmarkEnd w:id="50"/>
      <w:bookmarkEnd w:id="51"/>
      <w:bookmarkEnd w:id="52"/>
      <w:bookmarkEnd w:id="53"/>
      <w:r>
        <w:rPr>
          <w:rFonts w:hint="eastAsia" w:ascii="黑体" w:hAnsi="黑体" w:eastAsia="黑体" w:cs="黑体"/>
          <w:sz w:val="32"/>
          <w:szCs w:val="32"/>
        </w:rPr>
        <w:t>公开表</w:t>
      </w:r>
      <w:bookmarkEnd w:id="54"/>
      <w:bookmarkEnd w:id="55"/>
      <w:bookmarkStart w:id="56" w:name="_Toc17833_WPSOffice_Level2"/>
      <w:bookmarkStart w:id="57" w:name="_Toc2632_WPSOffice_Level2"/>
      <w:bookmarkStart w:id="58" w:name="_Toc5343_WPSOffice_Level2"/>
      <w:bookmarkStart w:id="59" w:name="_Toc17283_WPSOffice_Level2"/>
      <w:bookmarkStart w:id="60" w:name="_Toc25362_WPSOffice_Level2"/>
      <w:bookmarkStart w:id="61" w:name="_Toc8373_WPSOffice_Level2"/>
    </w:p>
    <w:p>
      <w:pPr>
        <w:spacing w:line="578" w:lineRule="exact"/>
        <w:ind w:firstLine="645"/>
        <w:rPr>
          <w:rFonts w:ascii="黑体" w:hAnsi="黑体" w:eastAsia="黑体" w:cs="黑体"/>
          <w:sz w:val="32"/>
          <w:szCs w:val="32"/>
        </w:rPr>
      </w:pPr>
      <w:r>
        <w:rPr>
          <w:rFonts w:hint="eastAsia" w:ascii="黑体" w:hAnsi="黑体" w:eastAsia="黑体" w:cs="黑体"/>
          <w:sz w:val="32"/>
          <w:szCs w:val="32"/>
        </w:rPr>
        <w:t>六、一般公共预算财政拨款基本支出决算</w:t>
      </w:r>
      <w:bookmarkEnd w:id="56"/>
      <w:bookmarkEnd w:id="57"/>
      <w:bookmarkEnd w:id="58"/>
      <w:bookmarkEnd w:id="59"/>
      <w:bookmarkEnd w:id="60"/>
      <w:bookmarkEnd w:id="61"/>
      <w:r>
        <w:rPr>
          <w:rFonts w:hint="eastAsia" w:ascii="黑体" w:hAnsi="黑体" w:eastAsia="黑体" w:cs="黑体"/>
          <w:sz w:val="32"/>
          <w:szCs w:val="32"/>
        </w:rPr>
        <w:t>公开表</w:t>
      </w:r>
    </w:p>
    <w:p>
      <w:pPr>
        <w:spacing w:line="578" w:lineRule="exact"/>
        <w:ind w:left="1118" w:leftChars="304" w:hanging="480" w:hangingChars="150"/>
        <w:rPr>
          <w:rFonts w:ascii="黑体" w:hAnsi="黑体" w:eastAsia="黑体" w:cs="黑体"/>
          <w:sz w:val="32"/>
          <w:szCs w:val="32"/>
        </w:rPr>
      </w:pPr>
      <w:bookmarkStart w:id="62" w:name="_Toc1533_WPSOffice_Level2"/>
      <w:bookmarkStart w:id="63" w:name="_Toc11799_WPSOffice_Level2"/>
      <w:bookmarkStart w:id="64" w:name="_Toc6020_WPSOffice_Level2"/>
      <w:bookmarkStart w:id="65" w:name="_Toc13345_WPSOffice_Level2"/>
      <w:bookmarkStart w:id="66" w:name="_Toc21310_WPSOffice_Level2"/>
      <w:bookmarkStart w:id="67" w:name="_Toc5594_WPSOffice_Level2"/>
      <w:r>
        <w:rPr>
          <w:rFonts w:hint="eastAsia" w:ascii="黑体" w:hAnsi="黑体" w:eastAsia="黑体" w:cs="黑体"/>
          <w:sz w:val="32"/>
          <w:szCs w:val="32"/>
        </w:rPr>
        <w:t>七、政府性基金预算财政拨款收入支出决算</w:t>
      </w:r>
      <w:bookmarkEnd w:id="62"/>
      <w:bookmarkEnd w:id="63"/>
      <w:bookmarkEnd w:id="64"/>
      <w:bookmarkEnd w:id="65"/>
      <w:bookmarkEnd w:id="66"/>
      <w:bookmarkEnd w:id="67"/>
      <w:r>
        <w:rPr>
          <w:rFonts w:hint="eastAsia" w:ascii="黑体" w:hAnsi="黑体" w:eastAsia="黑体" w:cs="黑体"/>
          <w:sz w:val="32"/>
          <w:szCs w:val="32"/>
        </w:rPr>
        <w:t>公开表</w:t>
      </w:r>
    </w:p>
    <w:p>
      <w:pPr>
        <w:spacing w:line="578" w:lineRule="exact"/>
        <w:ind w:left="1118" w:leftChars="304" w:hanging="480" w:hangingChars="150"/>
        <w:rPr>
          <w:rFonts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ascii="黑体" w:hAnsi="黑体" w:eastAsia="黑体" w:cs="黑体"/>
          <w:sz w:val="32"/>
          <w:szCs w:val="32"/>
        </w:rPr>
      </w:pPr>
      <w:bookmarkStart w:id="68" w:name="_Toc9377_WPSOffice_Level2"/>
      <w:bookmarkStart w:id="69" w:name="_Toc1820_WPSOffice_Level2"/>
      <w:bookmarkStart w:id="70" w:name="_Toc19961_WPSOffice_Level2"/>
      <w:bookmarkStart w:id="71" w:name="_Toc29886_WPSOffice_Level2"/>
      <w:r>
        <w:rPr>
          <w:rFonts w:hint="eastAsia" w:ascii="黑体" w:hAnsi="黑体" w:eastAsia="黑体" w:cs="黑体"/>
          <w:sz w:val="32"/>
          <w:szCs w:val="32"/>
        </w:rPr>
        <w:t>九、财政拨款“三公”经费支出决算</w:t>
      </w:r>
      <w:bookmarkEnd w:id="68"/>
      <w:bookmarkEnd w:id="69"/>
      <w:bookmarkEnd w:id="70"/>
      <w:bookmarkEnd w:id="71"/>
      <w:r>
        <w:rPr>
          <w:rFonts w:hint="eastAsia" w:ascii="黑体" w:hAnsi="黑体" w:eastAsia="黑体" w:cs="黑体"/>
          <w:sz w:val="32"/>
          <w:szCs w:val="32"/>
        </w:rPr>
        <w:t>公开表</w:t>
      </w:r>
    </w:p>
    <w:p>
      <w:pPr>
        <w:spacing w:line="578" w:lineRule="exact"/>
        <w:ind w:firstLine="640"/>
        <w:rPr>
          <w:rFonts w:ascii="仿宋" w:hAnsi="仿宋" w:eastAsia="仿宋" w:cs="仿宋"/>
          <w:sz w:val="32"/>
          <w:szCs w:val="32"/>
        </w:rPr>
      </w:pPr>
      <w:r>
        <w:rPr>
          <w:rFonts w:hint="eastAsia" w:ascii="仿宋" w:hAnsi="仿宋" w:eastAsia="仿宋" w:cs="仿宋"/>
          <w:sz w:val="32"/>
          <w:szCs w:val="32"/>
        </w:rPr>
        <w:t xml:space="preserve">以上报表见附件1。   </w:t>
      </w:r>
    </w:p>
    <w:p>
      <w:pPr>
        <w:spacing w:line="578" w:lineRule="exact"/>
        <w:rPr>
          <w:rFonts w:ascii="黑体" w:hAnsi="黑体" w:eastAsia="黑体" w:cs="黑体"/>
          <w:sz w:val="32"/>
          <w:szCs w:val="32"/>
        </w:rPr>
      </w:pPr>
    </w:p>
    <w:p>
      <w:pPr>
        <w:spacing w:line="578" w:lineRule="exact"/>
        <w:jc w:val="center"/>
        <w:rPr>
          <w:rFonts w:ascii="黑体" w:hAnsi="ˎ̥" w:eastAsia="黑体"/>
          <w:sz w:val="32"/>
          <w:szCs w:val="32"/>
        </w:rPr>
      </w:pPr>
      <w:bookmarkStart w:id="72" w:name="_Toc29683_WPSOffice_Level1"/>
      <w:bookmarkStart w:id="73" w:name="_Toc28629_WPSOffice_Level1"/>
      <w:bookmarkStart w:id="74" w:name="_Toc27590_WPSOffice_Level1"/>
      <w:bookmarkStart w:id="75" w:name="_Toc4402_WPSOffice_Level1"/>
      <w:bookmarkStart w:id="76" w:name="_Toc16686_WPSOffice_Level1"/>
      <w:bookmarkStart w:id="77" w:name="_Toc31264_WPSOffice_Level1"/>
      <w:r>
        <w:rPr>
          <w:rFonts w:hint="eastAsia" w:ascii="黑体" w:hAnsi="ˎ̥" w:eastAsia="黑体"/>
          <w:sz w:val="32"/>
          <w:szCs w:val="32"/>
        </w:rPr>
        <w:t xml:space="preserve">第三部分  </w:t>
      </w:r>
      <w:r>
        <w:rPr>
          <w:rFonts w:ascii="黑体" w:hAnsi="ˎ̥" w:eastAsia="黑体"/>
          <w:sz w:val="32"/>
          <w:szCs w:val="32"/>
        </w:rPr>
        <w:t>2024</w:t>
      </w:r>
      <w:r>
        <w:rPr>
          <w:rFonts w:hint="eastAsia" w:ascii="黑体" w:hAnsi="ˎ̥" w:eastAsia="黑体"/>
          <w:sz w:val="32"/>
          <w:szCs w:val="32"/>
        </w:rPr>
        <w:t>年度部门决算情况说明</w:t>
      </w:r>
      <w:bookmarkEnd w:id="72"/>
      <w:bookmarkEnd w:id="73"/>
      <w:bookmarkEnd w:id="74"/>
      <w:bookmarkEnd w:id="75"/>
      <w:bookmarkEnd w:id="76"/>
      <w:bookmarkEnd w:id="77"/>
    </w:p>
    <w:p>
      <w:pPr>
        <w:spacing w:line="578" w:lineRule="exact"/>
        <w:jc w:val="center"/>
        <w:rPr>
          <w:rFonts w:ascii="黑体" w:hAnsi="ˎ̥" w:eastAsia="黑体"/>
          <w:sz w:val="32"/>
          <w:szCs w:val="32"/>
        </w:rPr>
      </w:pPr>
    </w:p>
    <w:p>
      <w:pPr>
        <w:numPr>
          <w:ilvl w:val="0"/>
          <w:numId w:val="4"/>
        </w:numPr>
        <w:spacing w:line="578"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收入支出总体情况说明</w:t>
      </w:r>
    </w:p>
    <w:p>
      <w:pPr>
        <w:numPr>
          <w:numId w:val="0"/>
        </w:numPr>
        <w:spacing w:line="578" w:lineRule="exact"/>
        <w:ind w:firstLine="640" w:firstLineChars="200"/>
        <w:rPr>
          <w:rFonts w:ascii="仿宋_GB2312" w:hAnsi="ˎ̥" w:eastAsia="仿宋_GB2312" w:cs="Times New Roman"/>
          <w:sz w:val="32"/>
          <w:szCs w:val="32"/>
        </w:rPr>
      </w:pPr>
      <w:r>
        <w:rPr>
          <w:rFonts w:ascii="仿宋_GB2312" w:hAnsi="ˎ̥" w:eastAsia="仿宋_GB2312"/>
          <w:sz w:val="32"/>
          <w:szCs w:val="32"/>
        </w:rPr>
        <w:t>2024</w:t>
      </w:r>
      <w:r>
        <w:rPr>
          <w:rFonts w:hint="eastAsia" w:ascii="仿宋_GB2312" w:hAnsi="ˎ̥" w:eastAsia="仿宋_GB2312"/>
          <w:sz w:val="32"/>
          <w:szCs w:val="32"/>
        </w:rPr>
        <w:t>年度收</w:t>
      </w:r>
      <w:r>
        <w:rPr>
          <w:rFonts w:hint="eastAsia" w:ascii="仿宋_GB2312" w:hAnsi="ˎ̥" w:eastAsia="仿宋_GB2312" w:cs="Times New Roman"/>
          <w:sz w:val="32"/>
          <w:szCs w:val="32"/>
        </w:rPr>
        <w:t>入总计</w:t>
      </w:r>
      <w:r>
        <w:rPr>
          <w:rFonts w:ascii="仿宋_GB2312" w:hAnsi="ˎ̥" w:eastAsia="仿宋_GB2312" w:cs="Times New Roman"/>
          <w:sz w:val="32"/>
          <w:szCs w:val="32"/>
        </w:rPr>
        <w:t>946.74</w:t>
      </w:r>
      <w:r>
        <w:rPr>
          <w:rFonts w:hint="eastAsia" w:ascii="仿宋_GB2312" w:hAnsi="ˎ̥" w:eastAsia="仿宋_GB2312" w:cs="Times New Roman"/>
          <w:sz w:val="32"/>
          <w:szCs w:val="32"/>
        </w:rPr>
        <w:t>万元，支出总计</w:t>
      </w:r>
      <w:r>
        <w:rPr>
          <w:rFonts w:ascii="仿宋_GB2312" w:hAnsi="ˎ̥" w:eastAsia="仿宋_GB2312" w:cs="Times New Roman"/>
          <w:sz w:val="32"/>
          <w:szCs w:val="32"/>
        </w:rPr>
        <w:t>946.74</w:t>
      </w:r>
      <w:r>
        <w:rPr>
          <w:rFonts w:hint="eastAsia" w:ascii="仿宋_GB2312" w:hAnsi="ˎ̥" w:eastAsia="仿宋_GB2312" w:cs="Times New Roman"/>
          <w:sz w:val="32"/>
          <w:szCs w:val="32"/>
        </w:rPr>
        <w:t>万元，与</w:t>
      </w:r>
      <w:r>
        <w:rPr>
          <w:rFonts w:ascii="仿宋_GB2312" w:hAnsi="ˎ̥" w:eastAsia="仿宋_GB2312" w:cs="Times New Roman"/>
          <w:sz w:val="32"/>
          <w:szCs w:val="32"/>
        </w:rPr>
        <w:t>2023</w:t>
      </w:r>
      <w:r>
        <w:rPr>
          <w:rFonts w:hint="eastAsia" w:ascii="仿宋_GB2312" w:hAnsi="ˎ̥" w:eastAsia="仿宋_GB2312" w:cs="Times New Roman"/>
          <w:sz w:val="32"/>
          <w:szCs w:val="32"/>
        </w:rPr>
        <w:t>年度相比，收入减少3398.43万元，下降78.21%、支出总计增加减少2837.25万元，下降74.98%。主要原因：生态岗位资金2024年分化至各行业部门账面。</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eastAsia" w:ascii="仿宋_GB2312" w:hAnsi="ˎ̥" w:eastAsia="仿宋_GB2312" w:cs="Times New Roman"/>
          <w:sz w:val="32"/>
          <w:szCs w:val="32"/>
        </w:rPr>
        <w:t>946.74万元。</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使用非财政拨款结余0.00万元，较2023年度决算数增加（减少）0万元，主要原因是……。</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年初结转结余0万元，主要是生态转移支付资金，较2023年度决算数增加（减少）0万元，增长（下降）0%，主要原因是……。</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sz w:val="32"/>
          <w:szCs w:val="32"/>
        </w:rPr>
        <w:t>本</w:t>
      </w:r>
      <w:r>
        <w:rPr>
          <w:rFonts w:hint="eastAsia" w:ascii="仿宋_GB2312" w:hAnsi="ˎ̥" w:eastAsia="仿宋_GB2312" w:cs="Times New Roman"/>
          <w:sz w:val="32"/>
          <w:szCs w:val="32"/>
        </w:rPr>
        <w:t>年支出946.74万元。</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结余分配0.00万元，主要是……（资金分配去向），较2023年度决算数增加（减少）0万元，增长（下降）0%，主要原因是……。</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年末结转结余0.00万元，主要是……（简要说明结转结余的构成），较2023年度决算数增加（减少）0万元，增长（下降）0%，主要原因是……。</w:t>
      </w:r>
    </w:p>
    <w:p>
      <w:pPr>
        <w:spacing w:line="578" w:lineRule="exact"/>
        <w:rPr>
          <w:rFonts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：2024</w:t>
      </w:r>
      <w:r>
        <w:rPr>
          <w:rFonts w:hint="eastAsia" w:ascii="仿宋_GB2312" w:hAnsi="ˎ̥" w:eastAsia="仿宋_GB2312"/>
          <w:sz w:val="32"/>
          <w:szCs w:val="32"/>
        </w:rPr>
        <w:t>年度相关决算数据可取自附件财决公开01、02、03表；</w:t>
      </w:r>
      <w:r>
        <w:rPr>
          <w:rFonts w:ascii="仿宋_GB2312" w:hAnsi="ˎ̥" w:eastAsia="仿宋_GB2312"/>
          <w:sz w:val="32"/>
          <w:szCs w:val="32"/>
        </w:rPr>
        <w:t>2023</w:t>
      </w:r>
      <w:r>
        <w:rPr>
          <w:rFonts w:hint="eastAsia" w:ascii="仿宋_GB2312" w:hAnsi="ˎ̥" w:eastAsia="仿宋_GB2312"/>
          <w:sz w:val="32"/>
          <w:szCs w:val="32"/>
        </w:rPr>
        <w:t>年度相关决算数据可取自</w:t>
      </w:r>
      <w:r>
        <w:rPr>
          <w:rFonts w:ascii="仿宋_GB2312" w:hAnsi="ˎ̥" w:eastAsia="仿宋_GB2312"/>
          <w:sz w:val="32"/>
          <w:szCs w:val="32"/>
        </w:rPr>
        <w:t>2023</w:t>
      </w:r>
      <w:r>
        <w:rPr>
          <w:rFonts w:hint="eastAsia" w:ascii="仿宋_GB2312" w:hAnsi="ˎ̥" w:eastAsia="仿宋_GB2312"/>
          <w:sz w:val="32"/>
          <w:szCs w:val="32"/>
        </w:rPr>
        <w:t>年度部门决算报表财决01表《收入支出决算总表》。）</w:t>
      </w:r>
    </w:p>
    <w:p>
      <w:pPr>
        <w:spacing w:line="578" w:lineRule="exact"/>
        <w:ind w:firstLine="640" w:firstLineChars="200"/>
        <w:rPr>
          <w:rFonts w:hint="eastAsia" w:ascii="仿宋_GB2312" w:hAnsi="ˎ̥" w:eastAsia="仿宋_GB2312" w:cs="Times New Roman"/>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eastAsia" w:ascii="仿宋_GB2312" w:hAnsi="ˎ̥" w:eastAsia="仿宋_GB2312" w:cs="Times New Roman"/>
          <w:sz w:val="32"/>
          <w:szCs w:val="32"/>
        </w:rPr>
        <w:t>946.74万元，其中：财政拨款收入946.74万元，占100%；上级补助收入0.00万元，占0%；事业收入0.00万元，占0%；经营收入0.00万元，占0%；附属单位上缴收入0.00万元，占0%；其他收入0.00万元，占0%。</w:t>
      </w:r>
    </w:p>
    <w:p>
      <w:pPr>
        <w:spacing w:line="578" w:lineRule="exact"/>
        <w:ind w:left="412" w:leftChars="196"/>
        <w:rPr>
          <w:rFonts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p>
    <w:p>
      <w:pPr>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三、支出决算情况说明</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sz w:val="32"/>
          <w:szCs w:val="32"/>
        </w:rPr>
        <w:t>本年支出</w:t>
      </w:r>
      <w:r>
        <w:rPr>
          <w:rFonts w:ascii="仿宋_GB2312" w:hAnsi="ˎ̥" w:eastAsia="仿宋_GB2312"/>
          <w:color w:val="FF0000"/>
          <w:sz w:val="32"/>
          <w:szCs w:val="32"/>
        </w:rPr>
        <w:t>9</w:t>
      </w:r>
      <w:r>
        <w:rPr>
          <w:rFonts w:hint="eastAsia" w:ascii="仿宋_GB2312" w:hAnsi="ˎ̥" w:eastAsia="仿宋_GB2312" w:cs="Times New Roman"/>
          <w:sz w:val="32"/>
          <w:szCs w:val="32"/>
        </w:rPr>
        <w:t>46.74万元，其中：基本支出150.63万元，占15.91%；项目支出796.11万元，占84.09%；上缴上级支出0.00万元，占0%；经营支出0.00万元，占0%；对附属单位补助支出0.00万元，占0%。</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p>
    <w:p>
      <w:pPr>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四、财政拨款收入支出决算总体情况说明</w:t>
      </w:r>
    </w:p>
    <w:p>
      <w:pPr>
        <w:spacing w:line="578" w:lineRule="exact"/>
        <w:ind w:firstLine="640" w:firstLineChars="200"/>
        <w:rPr>
          <w:rFonts w:hint="eastAsia" w:ascii="仿宋_GB2312" w:hAnsi="ˎ̥" w:eastAsia="仿宋_GB2312" w:cs="Times New Roman"/>
          <w:sz w:val="32"/>
          <w:szCs w:val="32"/>
        </w:rPr>
      </w:pPr>
      <w:r>
        <w:rPr>
          <w:rFonts w:ascii="仿宋_GB2312" w:hAnsi="ˎ̥" w:eastAsia="仿宋_GB2312"/>
          <w:sz w:val="32"/>
          <w:szCs w:val="32"/>
        </w:rPr>
        <w:t>2024</w:t>
      </w:r>
      <w:r>
        <w:rPr>
          <w:rFonts w:hint="eastAsia" w:ascii="仿宋_GB2312" w:hAnsi="ˎ̥" w:eastAsia="仿宋_GB2312"/>
          <w:sz w:val="32"/>
          <w:szCs w:val="32"/>
        </w:rPr>
        <w:t>年度收入总计</w:t>
      </w:r>
      <w:r>
        <w:rPr>
          <w:rFonts w:hint="eastAsia" w:ascii="仿宋_GB2312" w:hAnsi="ˎ̥" w:eastAsia="仿宋_GB2312" w:cs="Times New Roman"/>
          <w:sz w:val="32"/>
          <w:szCs w:val="32"/>
        </w:rPr>
        <w:t>946.74万元，支出总计946.74万元，与2023年度相比，收入减少3398.43万元，下降78.21%、支出总计增加减少2837.25万元，下降74.98%。主要原因：生态岗位资金2024年分化至各行业部门账面。</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sz w:val="32"/>
          <w:szCs w:val="32"/>
        </w:rPr>
        <w:t>财政拨款年初结转结余</w:t>
      </w:r>
      <w:r>
        <w:rPr>
          <w:rFonts w:hint="eastAsia" w:ascii="仿宋_GB2312" w:hAnsi="ˎ̥" w:eastAsia="仿宋_GB2312" w:cs="Times New Roman"/>
          <w:sz w:val="32"/>
          <w:szCs w:val="32"/>
        </w:rPr>
        <w:t>0.00万元，主要是……（简要说明结转结余形成或来源），较2023年度决算数增加（减少）0万元，增长（下降）0%，主要原因是……。</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财政拨款年末结转结余0.00万元，主要是……（简要说明结转结余的构成），较2023年度决算数增加（减少）0万元，增长（下降）0%，主要原因是……。</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（注：2024年度决算相关数据可取自财决公开04表。2023年度决算相关数据可取自2023年度部门决算报表财决01-1表《财政拨款收入支出决算总表》。）</w:t>
      </w:r>
    </w:p>
    <w:p>
      <w:pPr>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spacing w:line="578" w:lineRule="exact"/>
        <w:ind w:firstLine="640" w:firstLineChars="200"/>
        <w:rPr>
          <w:rFonts w:ascii="楷体" w:hAnsi="楷体" w:eastAsia="楷体" w:cs="楷体"/>
          <w:sz w:val="32"/>
          <w:szCs w:val="32"/>
        </w:rPr>
      </w:pPr>
      <w:bookmarkStart w:id="78" w:name="_Toc23005_WPSOffice_Level2"/>
      <w:bookmarkStart w:id="79" w:name="_Toc9989_WPSOffice_Level2"/>
      <w:bookmarkStart w:id="80" w:name="_Toc13694_WPSOffice_Level2"/>
      <w:bookmarkStart w:id="81" w:name="_Toc17398_WPSOffice_Level2"/>
      <w:bookmarkStart w:id="82" w:name="_Toc21737_WPSOffice_Level2"/>
      <w:bookmarkStart w:id="83" w:name="_Toc19665_WPSOffice_Level2"/>
      <w:r>
        <w:rPr>
          <w:rFonts w:hint="eastAsia" w:ascii="楷体" w:hAnsi="楷体" w:eastAsia="楷体" w:cs="楷体"/>
          <w:sz w:val="32"/>
          <w:szCs w:val="32"/>
        </w:rPr>
        <w:t>（一）一般公共预算财政拨款支出决算总体情况</w:t>
      </w:r>
      <w:bookmarkEnd w:id="78"/>
      <w:bookmarkEnd w:id="79"/>
      <w:bookmarkEnd w:id="80"/>
      <w:bookmarkEnd w:id="81"/>
      <w:bookmarkEnd w:id="82"/>
      <w:bookmarkEnd w:id="83"/>
    </w:p>
    <w:p>
      <w:pPr>
        <w:spacing w:line="578" w:lineRule="exact"/>
        <w:ind w:firstLine="640" w:firstLineChars="200"/>
        <w:rPr>
          <w:rFonts w:hint="eastAsia" w:ascii="仿宋_GB2312" w:hAnsi="ˎ̥" w:eastAsia="仿宋_GB2312" w:cs="Times New Roman"/>
          <w:sz w:val="32"/>
          <w:szCs w:val="32"/>
        </w:rPr>
      </w:pPr>
      <w:r>
        <w:rPr>
          <w:rFonts w:ascii="仿宋_GB2312" w:hAnsi="ˎ̥" w:eastAsia="仿宋_GB2312"/>
          <w:sz w:val="32"/>
          <w:szCs w:val="32"/>
        </w:rPr>
        <w:t>2024</w:t>
      </w:r>
      <w:r>
        <w:rPr>
          <w:rFonts w:hint="eastAsia" w:ascii="仿宋_GB2312" w:hAnsi="ˎ̥" w:eastAsia="仿宋_GB2312"/>
          <w:sz w:val="32"/>
          <w:szCs w:val="32"/>
        </w:rPr>
        <w:t>年度一般公共预算财政拨款支出</w:t>
      </w:r>
      <w:r>
        <w:rPr>
          <w:rFonts w:hint="eastAsia" w:ascii="仿宋_GB2312" w:hAnsi="ˎ̥" w:eastAsia="仿宋_GB2312" w:cs="Times New Roman"/>
          <w:sz w:val="32"/>
          <w:szCs w:val="32"/>
        </w:rPr>
        <w:t>946.74万元，占本年支出合计的100%。与2023年度相比，一般公共预算财政拨款支出收入减少3398.43万元，下降78.21%，主要原因是生态岗位资金2024年分化至各行业部门账面。</w:t>
      </w:r>
    </w:p>
    <w:p>
      <w:pPr>
        <w:spacing w:line="578" w:lineRule="exact"/>
        <w:ind w:firstLine="640" w:firstLineChars="200"/>
        <w:rPr>
          <w:rFonts w:ascii="楷体" w:hAnsi="楷体" w:eastAsia="楷体" w:cs="楷体"/>
          <w:sz w:val="32"/>
          <w:szCs w:val="32"/>
        </w:rPr>
      </w:pPr>
      <w:bookmarkStart w:id="84" w:name="_Toc18793_WPSOffice_Level2"/>
      <w:bookmarkStart w:id="85" w:name="_Toc19075_WPSOffice_Level2"/>
      <w:bookmarkStart w:id="86" w:name="_Toc19535_WPSOffice_Level2"/>
      <w:bookmarkStart w:id="87" w:name="_Toc23864_WPSOffice_Level2"/>
      <w:bookmarkStart w:id="88" w:name="_Toc27767_WPSOffice_Level2"/>
      <w:bookmarkStart w:id="89" w:name="_Toc2711_WPSOffice_Level2"/>
      <w:r>
        <w:rPr>
          <w:rFonts w:hint="eastAsia" w:ascii="楷体" w:hAnsi="楷体" w:eastAsia="楷体" w:cs="楷体"/>
          <w:sz w:val="32"/>
          <w:szCs w:val="32"/>
        </w:rPr>
        <w:t>（二）一般公共预算财政拨款支出决算结构情况</w:t>
      </w:r>
      <w:bookmarkEnd w:id="84"/>
      <w:bookmarkEnd w:id="85"/>
      <w:bookmarkEnd w:id="86"/>
      <w:bookmarkEnd w:id="87"/>
      <w:bookmarkEnd w:id="88"/>
      <w:bookmarkEnd w:id="89"/>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年度一般公共预算财政拨款支出</w:t>
      </w:r>
      <w:r>
        <w:rPr>
          <w:rFonts w:hint="eastAsia" w:ascii="仿宋_GB2312" w:hAnsi="ˎ̥" w:eastAsia="仿宋_GB2312" w:cs="Times New Roman"/>
          <w:sz w:val="32"/>
          <w:szCs w:val="32"/>
        </w:rPr>
        <w:t>946.74万元</w:t>
      </w:r>
      <w:r>
        <w:rPr>
          <w:rFonts w:hint="eastAsia" w:ascii="仿宋_GB2312" w:hAnsi="ˎ̥" w:eastAsia="仿宋_GB2312"/>
          <w:sz w:val="32"/>
          <w:szCs w:val="32"/>
        </w:rPr>
        <w:t>，主要用于以下方面：</w:t>
      </w:r>
      <w:r>
        <w:rPr>
          <w:rFonts w:hint="eastAsia" w:ascii="仿宋_GB2312" w:hAnsi="ˎ̥" w:eastAsia="仿宋_GB2312"/>
          <w:b/>
          <w:sz w:val="32"/>
          <w:szCs w:val="32"/>
        </w:rPr>
        <w:t>节能环保支出（类）</w:t>
      </w:r>
      <w:r>
        <w:rPr>
          <w:rFonts w:hint="eastAsia" w:ascii="仿宋_GB2312" w:hAnsi="ˎ̥" w:eastAsia="仿宋_GB2312"/>
          <w:sz w:val="32"/>
          <w:szCs w:val="32"/>
        </w:rPr>
        <w:t>支出911.69万元，占</w:t>
      </w:r>
      <w:r>
        <w:rPr>
          <w:rFonts w:hint="eastAsia" w:ascii="仿宋_GB2312" w:hAnsi="ˎ̥" w:eastAsia="仿宋_GB2312" w:cs="Times New Roman"/>
          <w:sz w:val="32"/>
          <w:szCs w:val="32"/>
        </w:rPr>
        <w:t>96.30%；</w:t>
      </w:r>
      <w:r>
        <w:rPr>
          <w:rFonts w:hint="eastAsia" w:ascii="仿宋_GB2312" w:hAnsi="ˎ̥" w:eastAsia="仿宋_GB2312"/>
          <w:b/>
          <w:sz w:val="32"/>
          <w:szCs w:val="32"/>
        </w:rPr>
        <w:t>社会保障和就业（类）</w:t>
      </w:r>
      <w:r>
        <w:rPr>
          <w:rFonts w:hint="eastAsia" w:ascii="仿宋_GB2312" w:hAnsi="ˎ̥" w:eastAsia="仿宋_GB2312"/>
          <w:sz w:val="32"/>
          <w:szCs w:val="32"/>
        </w:rPr>
        <w:t>支出14.48万元，占</w:t>
      </w:r>
      <w:r>
        <w:rPr>
          <w:rFonts w:hint="eastAsia" w:ascii="仿宋_GB2312" w:hAnsi="ˎ̥" w:eastAsia="仿宋_GB2312" w:cs="Times New Roman"/>
          <w:sz w:val="32"/>
          <w:szCs w:val="32"/>
        </w:rPr>
        <w:t>1.53%</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支出11.78万元，</w:t>
      </w:r>
      <w:r>
        <w:rPr>
          <w:rFonts w:hint="eastAsia" w:ascii="仿宋_GB2312" w:hAnsi="ˎ̥" w:eastAsia="仿宋_GB2312" w:cs="Times New Roman"/>
          <w:sz w:val="32"/>
          <w:szCs w:val="32"/>
        </w:rPr>
        <w:t>占1.24%</w:t>
      </w:r>
      <w:r>
        <w:rPr>
          <w:rFonts w:hint="eastAsia" w:ascii="仿宋_GB2312" w:hAnsi="ˎ̥" w:eastAsia="仿宋_GB2312"/>
          <w:sz w:val="32"/>
          <w:szCs w:val="32"/>
        </w:rPr>
        <w:t>；</w:t>
      </w:r>
      <w:r>
        <w:rPr>
          <w:rFonts w:hint="eastAsia" w:ascii="仿宋_GB2312" w:hAnsi="ˎ̥" w:eastAsia="仿宋_GB2312"/>
          <w:b/>
          <w:bCs/>
          <w:sz w:val="32"/>
          <w:szCs w:val="32"/>
        </w:rPr>
        <w:t>卫生健康支出（类）</w:t>
      </w:r>
      <w:r>
        <w:rPr>
          <w:rFonts w:hint="eastAsia" w:ascii="仿宋_GB2312" w:hAnsi="ˎ̥" w:eastAsia="仿宋_GB2312"/>
          <w:sz w:val="32"/>
          <w:szCs w:val="32"/>
        </w:rPr>
        <w:t>支出8.78万元，占</w:t>
      </w:r>
      <w:r>
        <w:rPr>
          <w:rFonts w:hint="eastAsia" w:ascii="仿宋_GB2312" w:hAnsi="ˎ̥" w:eastAsia="仿宋_GB2312" w:cs="Times New Roman"/>
          <w:sz w:val="32"/>
          <w:szCs w:val="32"/>
        </w:rPr>
        <w:t>0.93%</w:t>
      </w:r>
      <w:r>
        <w:rPr>
          <w:rFonts w:hint="eastAsia" w:ascii="仿宋_GB2312" w:hAnsi="ˎ̥" w:eastAsia="仿宋_GB2312"/>
          <w:sz w:val="32"/>
          <w:szCs w:val="32"/>
        </w:rPr>
        <w:t>。</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根据各预算部门、单位实际支出涉及的支出功能分类类级科目填列。）</w:t>
      </w:r>
    </w:p>
    <w:p>
      <w:pPr>
        <w:spacing w:line="578" w:lineRule="exact"/>
        <w:ind w:firstLine="640" w:firstLineChars="200"/>
        <w:rPr>
          <w:rFonts w:ascii="楷体" w:hAnsi="楷体" w:eastAsia="楷体" w:cs="楷体"/>
          <w:sz w:val="32"/>
          <w:szCs w:val="32"/>
        </w:rPr>
      </w:pPr>
      <w:bookmarkStart w:id="90" w:name="_Toc9502_WPSOffice_Level2"/>
      <w:bookmarkStart w:id="91" w:name="_Toc21701_WPSOffice_Level2"/>
      <w:bookmarkStart w:id="92" w:name="_Toc25136_WPSOffice_Level2"/>
      <w:bookmarkStart w:id="93" w:name="_Toc29364_WPSOffice_Level2"/>
      <w:bookmarkStart w:id="94" w:name="_Toc15415_WPSOffice_Level2"/>
      <w:bookmarkStart w:id="95" w:name="_Toc22318_WPSOffice_Level2"/>
      <w:r>
        <w:rPr>
          <w:rFonts w:hint="eastAsia" w:ascii="楷体" w:hAnsi="楷体" w:eastAsia="楷体" w:cs="楷体"/>
          <w:sz w:val="32"/>
          <w:szCs w:val="32"/>
        </w:rPr>
        <w:t>（三）一般公共预算财政拨款支出决算具体情况</w:t>
      </w:r>
      <w:bookmarkEnd w:id="90"/>
      <w:bookmarkEnd w:id="91"/>
      <w:bookmarkEnd w:id="92"/>
      <w:bookmarkEnd w:id="93"/>
      <w:bookmarkEnd w:id="94"/>
      <w:bookmarkEnd w:id="95"/>
    </w:p>
    <w:p>
      <w:pPr>
        <w:spacing w:line="578" w:lineRule="exact"/>
        <w:ind w:firstLine="640" w:firstLineChars="200"/>
        <w:rPr>
          <w:rFonts w:hint="eastAsia" w:ascii="仿宋_GB2312" w:hAnsi="ˎ̥" w:eastAsia="仿宋_GB2312" w:cs="Times New Roman"/>
          <w:sz w:val="32"/>
          <w:szCs w:val="32"/>
        </w:rPr>
      </w:pPr>
      <w:r>
        <w:rPr>
          <w:rFonts w:ascii="仿宋_GB2312" w:hAnsi="ˎ̥" w:eastAsia="仿宋_GB2312"/>
          <w:sz w:val="32"/>
          <w:szCs w:val="32"/>
        </w:rPr>
        <w:t>2024</w:t>
      </w:r>
      <w:r>
        <w:rPr>
          <w:rFonts w:hint="eastAsia" w:ascii="仿宋_GB2312" w:hAnsi="ˎ̥" w:eastAsia="仿宋_GB2312"/>
          <w:sz w:val="32"/>
          <w:szCs w:val="32"/>
        </w:rPr>
        <w:t>年度一般公共预算财政拨款支出年初预算</w:t>
      </w:r>
      <w:r>
        <w:rPr>
          <w:rFonts w:hint="eastAsia" w:ascii="仿宋_GB2312" w:hAnsi="ˎ̥" w:eastAsia="仿宋_GB2312" w:cs="Times New Roman"/>
          <w:sz w:val="32"/>
          <w:szCs w:val="32"/>
        </w:rPr>
        <w:t>为946.74万元，支出决算为946.74万元，完成年初预算的100%。其中：</w:t>
      </w:r>
    </w:p>
    <w:p>
      <w:pPr>
        <w:numPr>
          <w:ilvl w:val="0"/>
          <w:numId w:val="5"/>
        </w:numPr>
        <w:spacing w:line="578" w:lineRule="exact"/>
        <w:rPr>
          <w:rFonts w:hint="eastAsia" w:ascii="仿宋_GB2312" w:hAnsi="ˎ̥" w:eastAsia="仿宋_GB2312" w:cs="Times New Roman"/>
          <w:sz w:val="32"/>
          <w:szCs w:val="32"/>
        </w:rPr>
      </w:pPr>
      <w:r>
        <w:rPr>
          <w:rFonts w:hint="eastAsia" w:ascii="仿宋_GB2312" w:hAnsi="ˎ̥" w:eastAsia="仿宋_GB2312"/>
          <w:b/>
          <w:sz w:val="32"/>
          <w:szCs w:val="32"/>
        </w:rPr>
        <w:t>节能环保支出。</w:t>
      </w:r>
      <w:r>
        <w:rPr>
          <w:rFonts w:hint="eastAsia" w:ascii="仿宋_GB2312" w:hAnsi="ˎ̥" w:eastAsia="仿宋_GB2312"/>
          <w:sz w:val="32"/>
          <w:szCs w:val="32"/>
        </w:rPr>
        <w:t>年初预算为</w:t>
      </w:r>
      <w:r>
        <w:rPr>
          <w:rFonts w:hint="eastAsia" w:ascii="仿宋_GB2312" w:hAnsi="ˎ̥" w:eastAsia="仿宋_GB2312" w:cs="Times New Roman"/>
          <w:sz w:val="32"/>
          <w:szCs w:val="32"/>
        </w:rPr>
        <w:t>911.69万元，支出决算为911.69万元，完成年初预算的100%。</w:t>
      </w:r>
    </w:p>
    <w:p>
      <w:pPr>
        <w:numPr>
          <w:ilvl w:val="0"/>
          <w:numId w:val="5"/>
        </w:numPr>
        <w:spacing w:line="578" w:lineRule="exact"/>
        <w:rPr>
          <w:rFonts w:hint="eastAsia" w:ascii="仿宋_GB2312" w:hAnsi="ˎ̥" w:eastAsia="仿宋_GB2312" w:cs="Times New Roman"/>
          <w:sz w:val="32"/>
          <w:szCs w:val="32"/>
        </w:rPr>
      </w:pPr>
      <w:r>
        <w:rPr>
          <w:rFonts w:hint="eastAsia" w:ascii="仿宋_GB2312" w:hAnsi="ˎ̥" w:eastAsia="仿宋_GB2312"/>
          <w:b/>
          <w:sz w:val="32"/>
          <w:szCs w:val="32"/>
        </w:rPr>
        <w:t>社会保障和就业。</w:t>
      </w:r>
      <w:r>
        <w:rPr>
          <w:rFonts w:hint="eastAsia" w:ascii="仿宋_GB2312" w:hAnsi="ˎ̥" w:eastAsia="仿宋_GB2312"/>
          <w:sz w:val="32"/>
          <w:szCs w:val="32"/>
        </w:rPr>
        <w:t>年初预算为</w:t>
      </w:r>
      <w:r>
        <w:rPr>
          <w:rFonts w:hint="eastAsia" w:ascii="仿宋_GB2312" w:hAnsi="ˎ̥" w:eastAsia="仿宋_GB2312" w:cs="Times New Roman"/>
          <w:sz w:val="32"/>
          <w:szCs w:val="32"/>
        </w:rPr>
        <w:t>14.48万元，支出决算为14.48万元，完成年初预算的100%。</w:t>
      </w:r>
    </w:p>
    <w:p>
      <w:pPr>
        <w:numPr>
          <w:ilvl w:val="0"/>
          <w:numId w:val="5"/>
        </w:numPr>
        <w:spacing w:line="578" w:lineRule="exact"/>
        <w:rPr>
          <w:rFonts w:hint="eastAsia" w:ascii="仿宋_GB2312" w:hAnsi="ˎ̥" w:eastAsia="仿宋_GB2312" w:cs="Times New Roman"/>
          <w:sz w:val="32"/>
          <w:szCs w:val="32"/>
        </w:rPr>
      </w:pPr>
      <w:r>
        <w:rPr>
          <w:rFonts w:hint="eastAsia" w:ascii="仿宋_GB2312" w:hAnsi="ˎ̥" w:eastAsia="仿宋_GB2312"/>
          <w:b/>
          <w:sz w:val="32"/>
          <w:szCs w:val="32"/>
        </w:rPr>
        <w:t>住房保障。</w:t>
      </w:r>
      <w:r>
        <w:rPr>
          <w:rFonts w:hint="eastAsia" w:ascii="仿宋_GB2312" w:hAnsi="ˎ̥" w:eastAsia="仿宋_GB2312"/>
          <w:sz w:val="32"/>
          <w:szCs w:val="32"/>
        </w:rPr>
        <w:t>年初预算为</w:t>
      </w:r>
      <w:r>
        <w:rPr>
          <w:rFonts w:hint="eastAsia" w:ascii="仿宋_GB2312" w:hAnsi="ˎ̥" w:eastAsia="仿宋_GB2312" w:cs="Times New Roman"/>
          <w:sz w:val="32"/>
          <w:szCs w:val="32"/>
        </w:rPr>
        <w:t>1</w:t>
      </w:r>
      <w:r>
        <w:rPr>
          <w:rFonts w:hint="eastAsia" w:ascii="仿宋_GB2312" w:hAnsi="ˎ̥" w:eastAsia="仿宋_GB2312" w:cs="Times New Roman"/>
          <w:sz w:val="32"/>
          <w:szCs w:val="32"/>
        </w:rPr>
        <w:t>1.78万元，支出决算为11.78万元，完成年初预算的100%。</w:t>
      </w:r>
    </w:p>
    <w:p>
      <w:pPr>
        <w:numPr>
          <w:ilvl w:val="0"/>
          <w:numId w:val="5"/>
        </w:numPr>
        <w:spacing w:line="578" w:lineRule="exact"/>
        <w:rPr>
          <w:rFonts w:hint="eastAsia" w:ascii="仿宋_GB2312" w:hAnsi="ˎ̥" w:eastAsia="仿宋_GB2312" w:cs="Times New Roman"/>
          <w:sz w:val="32"/>
          <w:szCs w:val="32"/>
        </w:rPr>
      </w:pPr>
      <w:r>
        <w:rPr>
          <w:rFonts w:hint="eastAsia" w:ascii="仿宋_GB2312" w:hAnsi="ˎ̥" w:eastAsia="仿宋_GB2312"/>
          <w:b/>
          <w:bCs/>
          <w:sz w:val="32"/>
          <w:szCs w:val="32"/>
        </w:rPr>
        <w:t>卫生健康支出。</w:t>
      </w:r>
      <w:r>
        <w:rPr>
          <w:rFonts w:hint="eastAsia" w:ascii="仿宋_GB2312" w:hAnsi="ˎ̥" w:eastAsia="仿宋_GB2312"/>
          <w:sz w:val="32"/>
          <w:szCs w:val="32"/>
        </w:rPr>
        <w:t>年初预算为</w:t>
      </w:r>
      <w:r>
        <w:rPr>
          <w:rFonts w:hint="eastAsia" w:ascii="仿宋_GB2312" w:hAnsi="ˎ̥" w:eastAsia="仿宋_GB2312" w:cs="Times New Roman"/>
          <w:sz w:val="32"/>
          <w:szCs w:val="32"/>
        </w:rPr>
        <w:t>8.78万元，支出决算为8.78万元，完成年初预算的100%。</w:t>
      </w:r>
    </w:p>
    <w:p>
      <w:pPr>
        <w:spacing w:line="578" w:lineRule="exact"/>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本部分支出决算数可取自财决公开05表，年初预算数可取自各预算部门、单位年初预算大本，根据实际支出涉及的支出功能分类项级科目填列。）</w:t>
      </w:r>
    </w:p>
    <w:p>
      <w:pPr>
        <w:spacing w:line="578" w:lineRule="exact"/>
        <w:ind w:firstLine="627" w:firstLineChars="196"/>
        <w:rPr>
          <w:rFonts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tabs>
          <w:tab w:val="center" w:pos="4473"/>
        </w:tabs>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年度财政拨款基本支出</w:t>
      </w:r>
      <w:r>
        <w:rPr>
          <w:rFonts w:hint="eastAsia" w:ascii="仿宋_GB2312" w:hAnsi="ˎ̥" w:eastAsia="仿宋_GB2312" w:cs="Times New Roman"/>
          <w:sz w:val="32"/>
          <w:szCs w:val="32"/>
        </w:rPr>
        <w:t>150.63万元，其中：人员经费141.45万元，主要包括：工资福利支出中的基本</w:t>
      </w:r>
      <w:r>
        <w:rPr>
          <w:rFonts w:hint="eastAsia" w:ascii="仿宋_GB2312" w:hAnsi="ˎ̥" w:eastAsia="仿宋_GB2312"/>
          <w:sz w:val="32"/>
          <w:szCs w:val="32"/>
        </w:rPr>
        <w:t>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w:t>
      </w:r>
      <w:r>
        <w:rPr>
          <w:rFonts w:hint="eastAsia" w:ascii="仿宋_GB2312" w:hAnsi="ˎ̥" w:eastAsia="仿宋_GB2312" w:cs="Times New Roman"/>
          <w:sz w:val="32"/>
          <w:szCs w:val="32"/>
        </w:rPr>
        <w:t>用经费9.18万元</w:t>
      </w:r>
      <w:r>
        <w:rPr>
          <w:rFonts w:hint="eastAsia" w:ascii="仿宋_GB2312" w:hAnsi="ˎ̥" w:eastAsia="仿宋_GB2312"/>
          <w:sz w:val="32"/>
          <w:szCs w:val="32"/>
        </w:rPr>
        <w:t>，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购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tabs>
          <w:tab w:val="center" w:pos="4473"/>
        </w:tabs>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上述数据可取自财决公开06表，各预算部门、单位根据实际支出情况，选列相应支出经济分类。）</w:t>
      </w:r>
    </w:p>
    <w:p>
      <w:pPr>
        <w:tabs>
          <w:tab w:val="center" w:pos="4473"/>
        </w:tabs>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（一）政府性基金预算财政拨款支出决算总体情况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年度政府性基金预算财政拨款支出</w:t>
      </w:r>
      <w:r>
        <w:rPr>
          <w:rFonts w:hint="eastAsia" w:ascii="仿宋_GB2312" w:hAnsi="ˎ̥" w:eastAsia="仿宋_GB2312" w:cs="Times New Roman"/>
          <w:sz w:val="32"/>
          <w:szCs w:val="32"/>
        </w:rPr>
        <w:t>0.00万元，占本年支出合计的0%。与2023年度相比，政府性基金预算财政拨款支出增加（减少）0万元，增长（下降）0%，主要原因是……</w:t>
      </w:r>
      <w:r>
        <w:rPr>
          <w:rFonts w:hint="eastAsia" w:ascii="仿宋_GB2312" w:hAnsi="ˎ̥" w:eastAsia="仿宋_GB2312"/>
          <w:sz w:val="32"/>
          <w:szCs w:val="32"/>
        </w:rPr>
        <w:t>。</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（二）政府性基金预算财政拨款支出决算结构情况</w:t>
      </w:r>
    </w:p>
    <w:p>
      <w:pPr>
        <w:spacing w:line="578" w:lineRule="exact"/>
        <w:ind w:firstLine="640" w:firstLineChars="200"/>
        <w:rPr>
          <w:rFonts w:hint="eastAsia" w:ascii="仿宋_GB2312" w:hAnsi="ˎ̥" w:eastAsia="仿宋_GB2312" w:cs="Times New Roman"/>
          <w:sz w:val="32"/>
          <w:szCs w:val="32"/>
        </w:rPr>
      </w:pPr>
      <w:r>
        <w:rPr>
          <w:rFonts w:ascii="仿宋_GB2312" w:hAnsi="ˎ̥" w:eastAsia="仿宋_GB2312"/>
          <w:sz w:val="32"/>
          <w:szCs w:val="32"/>
        </w:rPr>
        <w:t>2024</w:t>
      </w:r>
      <w:r>
        <w:rPr>
          <w:rFonts w:hint="eastAsia" w:ascii="仿宋_GB2312" w:hAnsi="ˎ̥" w:eastAsia="仿宋_GB2312"/>
          <w:sz w:val="32"/>
          <w:szCs w:val="32"/>
        </w:rPr>
        <w:t>年度政府性基金预算财政拨款支</w:t>
      </w:r>
      <w:r>
        <w:rPr>
          <w:rFonts w:hint="eastAsia" w:ascii="仿宋_GB2312" w:hAnsi="ˎ̥" w:eastAsia="仿宋_GB2312" w:cs="Times New Roman"/>
          <w:sz w:val="32"/>
          <w:szCs w:val="32"/>
        </w:rPr>
        <w:t>出0.00万元，主要用于以下方面：0（类）支出0万元，占0%；0（类）支出0万元，占0%；0（类）支出0万元，占0%；……。</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根据各预算部门、单位实际支出涉及的支出功能分类类级科目填列。）</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（三）政府性基金预算财政拨款支出决算具体情况</w:t>
      </w:r>
    </w:p>
    <w:p>
      <w:pPr>
        <w:spacing w:line="578" w:lineRule="exact"/>
        <w:ind w:firstLine="640" w:firstLineChars="200"/>
        <w:rPr>
          <w:rFonts w:hint="eastAsia" w:ascii="仿宋_GB2312" w:hAnsi="ˎ̥" w:eastAsia="仿宋_GB2312" w:cs="Times New Roman"/>
          <w:sz w:val="32"/>
          <w:szCs w:val="32"/>
        </w:rPr>
      </w:pPr>
      <w:r>
        <w:rPr>
          <w:rFonts w:ascii="仿宋_GB2312" w:hAnsi="ˎ̥" w:eastAsia="仿宋_GB2312"/>
          <w:sz w:val="32"/>
          <w:szCs w:val="32"/>
        </w:rPr>
        <w:t>2024</w:t>
      </w:r>
      <w:r>
        <w:rPr>
          <w:rFonts w:hint="eastAsia" w:ascii="仿宋_GB2312" w:hAnsi="ˎ̥" w:eastAsia="仿宋_GB2312"/>
          <w:sz w:val="32"/>
          <w:szCs w:val="32"/>
        </w:rPr>
        <w:t>年度政府性基金预算财政拨款支出年初预算</w:t>
      </w:r>
      <w:r>
        <w:rPr>
          <w:rFonts w:hint="eastAsia" w:ascii="仿宋_GB2312" w:hAnsi="ˎ̥" w:eastAsia="仿宋_GB2312" w:cs="Times New Roman"/>
          <w:sz w:val="32"/>
          <w:szCs w:val="32"/>
        </w:rPr>
        <w:t>为0万元，支出决算为0.00万元，完成年初预算的0%。其中：</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1.0（类）0（款）0（项）。</w:t>
      </w:r>
    </w:p>
    <w:p>
      <w:pPr>
        <w:spacing w:line="578" w:lineRule="exact"/>
        <w:ind w:firstLine="640" w:firstLineChars="200"/>
        <w:rPr>
          <w:rFonts w:ascii="仿宋_GB2312" w:hAnsi="ˎ̥" w:eastAsia="仿宋_GB2312"/>
          <w:sz w:val="32"/>
          <w:szCs w:val="32"/>
        </w:rPr>
      </w:pPr>
      <w:r>
        <w:rPr>
          <w:rFonts w:hint="eastAsia" w:ascii="仿宋_GB2312" w:hAnsi="ˎ̥" w:eastAsia="仿宋_GB2312" w:cs="Times New Roman"/>
          <w:sz w:val="32"/>
          <w:szCs w:val="32"/>
        </w:rPr>
        <w:t>年初预算为0万元，支出决算为0万元，完成年初预算的0%。决算数大于（</w:t>
      </w:r>
      <w:r>
        <w:rPr>
          <w:rFonts w:hint="eastAsia" w:ascii="仿宋_GB2312" w:hAnsi="ˎ̥" w:eastAsia="仿宋_GB2312"/>
          <w:sz w:val="32"/>
          <w:szCs w:val="32"/>
        </w:rPr>
        <w:t>小于）预算数的主要原因：一是……；二是……。</w:t>
      </w:r>
    </w:p>
    <w:p>
      <w:pPr>
        <w:tabs>
          <w:tab w:val="center" w:pos="4473"/>
        </w:tabs>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根据各预算部门、单位实际支出涉及的支出功能分类项级科目填列，本部分</w:t>
      </w:r>
      <w:r>
        <w:rPr>
          <w:rFonts w:ascii="仿宋_GB2312" w:hAnsi="ˎ̥" w:eastAsia="仿宋_GB2312"/>
          <w:sz w:val="32"/>
          <w:szCs w:val="32"/>
        </w:rPr>
        <w:t>2024</w:t>
      </w:r>
      <w:r>
        <w:rPr>
          <w:rFonts w:hint="eastAsia" w:ascii="仿宋_GB2312" w:hAnsi="ˎ̥" w:eastAsia="仿宋_GB2312"/>
          <w:sz w:val="32"/>
          <w:szCs w:val="32"/>
        </w:rPr>
        <w:t>年度决算相关数据取自财决公开07表；</w:t>
      </w:r>
      <w:r>
        <w:rPr>
          <w:rFonts w:ascii="仿宋_GB2312" w:hAnsi="ˎ̥" w:eastAsia="仿宋_GB2312"/>
          <w:sz w:val="32"/>
          <w:szCs w:val="32"/>
        </w:rPr>
        <w:t>2023</w:t>
      </w:r>
      <w:r>
        <w:rPr>
          <w:rFonts w:hint="eastAsia" w:ascii="仿宋_GB2312" w:hAnsi="ˎ̥" w:eastAsia="仿宋_GB2312"/>
          <w:sz w:val="32"/>
          <w:szCs w:val="32"/>
        </w:rPr>
        <w:t>年度决算相关数据取自</w:t>
      </w:r>
      <w:r>
        <w:rPr>
          <w:rFonts w:ascii="仿宋_GB2312" w:hAnsi="ˎ̥" w:eastAsia="仿宋_GB2312"/>
          <w:sz w:val="32"/>
          <w:szCs w:val="32"/>
        </w:rPr>
        <w:t>2023</w:t>
      </w:r>
      <w:r>
        <w:rPr>
          <w:rFonts w:hint="eastAsia" w:ascii="仿宋_GB2312" w:hAnsi="ˎ̥" w:eastAsia="仿宋_GB2312"/>
          <w:sz w:val="32"/>
          <w:szCs w:val="32"/>
        </w:rPr>
        <w:t>年度部门决算报表财决09表《政府性基金预算财政拨款收入支出决算表》。）</w:t>
      </w:r>
    </w:p>
    <w:p>
      <w:pPr>
        <w:tabs>
          <w:tab w:val="center" w:pos="4473"/>
        </w:tabs>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年度国有资本经营预算财政拨款支</w:t>
      </w:r>
      <w:r>
        <w:rPr>
          <w:rFonts w:hint="eastAsia" w:ascii="仿宋_GB2312" w:hAnsi="ˎ̥" w:eastAsia="仿宋_GB2312" w:cs="Times New Roman"/>
          <w:sz w:val="32"/>
          <w:szCs w:val="32"/>
        </w:rPr>
        <w:t>出0.00万元，占本年支出合计的0%。与2023年度相比，国有资本经营预算财政拨款支出增加（减少）0万元，增长（下降）0%，主要原因是…</w:t>
      </w:r>
      <w:r>
        <w:rPr>
          <w:rFonts w:hint="eastAsia" w:ascii="仿宋_GB2312" w:hAnsi="ˎ̥" w:eastAsia="仿宋_GB2312"/>
          <w:sz w:val="32"/>
          <w:szCs w:val="32"/>
        </w:rPr>
        <w:t>…。</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spacing w:line="578" w:lineRule="exact"/>
        <w:ind w:firstLine="640" w:firstLineChars="200"/>
        <w:rPr>
          <w:rFonts w:hint="eastAsia" w:ascii="仿宋_GB2312" w:hAnsi="ˎ̥" w:eastAsia="仿宋_GB2312" w:cs="Times New Roman"/>
          <w:sz w:val="32"/>
          <w:szCs w:val="32"/>
        </w:rPr>
      </w:pPr>
      <w:r>
        <w:rPr>
          <w:rFonts w:ascii="仿宋_GB2312" w:hAnsi="ˎ̥" w:eastAsia="仿宋_GB2312"/>
          <w:sz w:val="32"/>
          <w:szCs w:val="32"/>
        </w:rPr>
        <w:t>2024</w:t>
      </w:r>
      <w:r>
        <w:rPr>
          <w:rFonts w:hint="eastAsia" w:ascii="仿宋_GB2312" w:hAnsi="ˎ̥" w:eastAsia="仿宋_GB2312"/>
          <w:sz w:val="32"/>
          <w:szCs w:val="32"/>
        </w:rPr>
        <w:t>年度国有资本经营预算财政拨款支</w:t>
      </w:r>
      <w:r>
        <w:rPr>
          <w:rFonts w:hint="eastAsia" w:ascii="仿宋_GB2312" w:hAnsi="ˎ̥" w:eastAsia="仿宋_GB2312" w:cs="Times New Roman"/>
          <w:sz w:val="32"/>
          <w:szCs w:val="32"/>
        </w:rPr>
        <w:t>出0.00万元，主要用于以下方面：0（类）支出0万元，占0%；0（类）支出0万元，占0%；0（类）支出0万元，占0%；……。</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根据各预算部门、单位实际支出涉及的支出功能分类类级科目填列。）</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spacing w:line="578" w:lineRule="exact"/>
        <w:ind w:firstLine="640" w:firstLineChars="200"/>
        <w:rPr>
          <w:rFonts w:hint="eastAsia" w:ascii="仿宋_GB2312" w:hAnsi="ˎ̥" w:eastAsia="仿宋_GB2312" w:cs="Times New Roman"/>
          <w:sz w:val="32"/>
          <w:szCs w:val="32"/>
        </w:rPr>
      </w:pPr>
      <w:r>
        <w:rPr>
          <w:rFonts w:ascii="仿宋_GB2312" w:hAnsi="ˎ̥" w:eastAsia="仿宋_GB2312"/>
          <w:sz w:val="32"/>
          <w:szCs w:val="32"/>
        </w:rPr>
        <w:t>2024</w:t>
      </w:r>
      <w:r>
        <w:rPr>
          <w:rFonts w:hint="eastAsia" w:ascii="仿宋_GB2312" w:hAnsi="ˎ̥" w:eastAsia="仿宋_GB2312"/>
          <w:sz w:val="32"/>
          <w:szCs w:val="32"/>
        </w:rPr>
        <w:t>年度国有资本经营预算财政拨款支出年初预算</w:t>
      </w:r>
      <w:r>
        <w:rPr>
          <w:rFonts w:hint="eastAsia" w:ascii="仿宋_GB2312" w:hAnsi="ˎ̥" w:eastAsia="仿宋_GB2312" w:cs="Times New Roman"/>
          <w:sz w:val="32"/>
          <w:szCs w:val="32"/>
        </w:rPr>
        <w:t>为0万元，支出决算为0.00万元，完成年初预算的0%。其中：</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1.0（类）0（款）0（项）。</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年初预算为0万元，支出决算为0万元，完成年初预算的0%。决算数大于（小于）预算数的主要原因：一是……；二是…</w:t>
      </w:r>
    </w:p>
    <w:p>
      <w:pPr>
        <w:tabs>
          <w:tab w:val="center" w:pos="4473"/>
        </w:tabs>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根据各预算部门、单位实际支出涉及的支出功能分类项级科目填列，本部分</w:t>
      </w:r>
      <w:r>
        <w:rPr>
          <w:rFonts w:ascii="仿宋_GB2312" w:hAnsi="ˎ̥" w:eastAsia="仿宋_GB2312"/>
          <w:sz w:val="32"/>
          <w:szCs w:val="32"/>
        </w:rPr>
        <w:t>2024</w:t>
      </w:r>
      <w:r>
        <w:rPr>
          <w:rFonts w:hint="eastAsia" w:ascii="仿宋_GB2312" w:hAnsi="ˎ̥" w:eastAsia="仿宋_GB2312"/>
          <w:sz w:val="32"/>
          <w:szCs w:val="32"/>
        </w:rPr>
        <w:t>年度决算相关数据取自财决公开08表。）</w:t>
      </w:r>
    </w:p>
    <w:p>
      <w:pPr>
        <w:spacing w:line="578" w:lineRule="exact"/>
        <w:ind w:firstLine="627" w:firstLineChars="196"/>
        <w:rPr>
          <w:rFonts w:ascii="仿宋_GB2312" w:hAnsi="ˎ̥" w:eastAsia="楷体_GB2312"/>
          <w:sz w:val="32"/>
          <w:szCs w:val="32"/>
        </w:rPr>
      </w:pPr>
      <w:r>
        <w:rPr>
          <w:rFonts w:hint="eastAsia" w:ascii="黑体" w:hAnsi="黑体" w:eastAsia="黑体" w:cs="黑体"/>
          <w:bCs/>
          <w:sz w:val="32"/>
          <w:szCs w:val="32"/>
        </w:rPr>
        <w:t>九、财政拨款“三公”经费支出决算情况说明</w:t>
      </w:r>
    </w:p>
    <w:p>
      <w:pPr>
        <w:spacing w:line="578" w:lineRule="exact"/>
        <w:ind w:firstLine="640" w:firstLineChars="200"/>
        <w:rPr>
          <w:rFonts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spacing w:line="578" w:lineRule="exact"/>
        <w:rPr>
          <w:rFonts w:ascii="仿宋_GB2312" w:hAnsi="ˎ̥" w:eastAsia="仿宋_GB2312"/>
          <w:sz w:val="32"/>
          <w:szCs w:val="32"/>
        </w:rPr>
      </w:pPr>
      <w:r>
        <w:rPr>
          <w:rFonts w:hint="eastAsia" w:ascii="仿宋_GB2312" w:hAnsi="ˎ̥" w:eastAsia="仿宋_GB2312"/>
          <w:sz w:val="32"/>
          <w:szCs w:val="32"/>
          <w:lang w:val="en-US" w:eastAsia="zh-CN"/>
        </w:rPr>
        <w:t xml:space="preserve">    2</w:t>
      </w:r>
      <w:r>
        <w:rPr>
          <w:rFonts w:ascii="仿宋_GB2312" w:hAnsi="ˎ̥" w:eastAsia="仿宋_GB2312"/>
          <w:sz w:val="32"/>
          <w:szCs w:val="32"/>
        </w:rPr>
        <w:t>024</w:t>
      </w:r>
      <w:r>
        <w:rPr>
          <w:rFonts w:hint="eastAsia" w:ascii="仿宋_GB2312" w:hAnsi="ˎ̥" w:eastAsia="仿宋_GB2312"/>
          <w:sz w:val="32"/>
          <w:szCs w:val="32"/>
        </w:rPr>
        <w:t>年度财政拨款“三公”经费支出预算为</w:t>
      </w:r>
      <w:r>
        <w:rPr>
          <w:rFonts w:hint="eastAsia" w:ascii="仿宋_GB2312" w:hAnsi="ˎ̥" w:eastAsia="仿宋_GB2312" w:cs="Times New Roman"/>
          <w:sz w:val="32"/>
          <w:szCs w:val="32"/>
        </w:rPr>
        <w:t>1.06万元，支出决算为1.06万元，完成预算的0%，与2023年度相比，“三公”经费支出增加（减少）0万元，增长（下降）0%，主要原因</w:t>
      </w:r>
      <w:r>
        <w:rPr>
          <w:rFonts w:ascii="仿宋_GB2312" w:hAnsi="ˎ̥" w:eastAsia="仿宋_GB2312"/>
          <w:sz w:val="32"/>
          <w:szCs w:val="32"/>
        </w:rPr>
        <w:t>是……</w:t>
      </w:r>
      <w:r>
        <w:rPr>
          <w:rFonts w:hint="eastAsia" w:ascii="仿宋_GB2312" w:hAnsi="ˎ̥" w:eastAsia="仿宋_GB2312"/>
          <w:sz w:val="32"/>
          <w:szCs w:val="32"/>
        </w:rPr>
        <w:t>。</w:t>
      </w:r>
    </w:p>
    <w:p>
      <w:pPr>
        <w:spacing w:line="578" w:lineRule="exact"/>
        <w:rPr>
          <w:rFonts w:ascii="楷体" w:hAnsi="楷体" w:eastAsia="楷体" w:cs="楷体"/>
          <w:sz w:val="32"/>
          <w:szCs w:val="32"/>
        </w:rPr>
      </w:pPr>
      <w:r>
        <w:rPr>
          <w:rFonts w:hint="eastAsia" w:ascii="楷体" w:hAnsi="楷体" w:eastAsia="楷体" w:cs="楷体"/>
          <w:sz w:val="32"/>
          <w:szCs w:val="32"/>
        </w:rPr>
        <w:t xml:space="preserve"> （二）财政拨款“三公”经费支出决算具体情况说明</w:t>
      </w:r>
    </w:p>
    <w:p>
      <w:pPr>
        <w:spacing w:line="578" w:lineRule="exact"/>
        <w:ind w:firstLine="640" w:firstLineChars="200"/>
        <w:rPr>
          <w:rFonts w:hint="eastAsia" w:ascii="仿宋_GB2312" w:hAnsi="ˎ̥" w:eastAsia="仿宋_GB2312" w:cs="Times New Roman"/>
          <w:sz w:val="32"/>
          <w:szCs w:val="32"/>
        </w:rPr>
      </w:pPr>
      <w:r>
        <w:rPr>
          <w:rFonts w:ascii="仿宋_GB2312" w:hAnsi="ˎ̥" w:eastAsia="仿宋_GB2312"/>
          <w:sz w:val="32"/>
          <w:szCs w:val="32"/>
        </w:rPr>
        <w:t>2024</w:t>
      </w:r>
      <w:r>
        <w:rPr>
          <w:rFonts w:hint="eastAsia" w:ascii="仿宋_GB2312" w:hAnsi="ˎ̥" w:eastAsia="仿宋_GB2312"/>
          <w:sz w:val="32"/>
          <w:szCs w:val="32"/>
        </w:rPr>
        <w:t>年度财政拨款“三公”经费支出决算中，因公出国（境）费支出决</w:t>
      </w:r>
      <w:r>
        <w:rPr>
          <w:rFonts w:hint="eastAsia" w:ascii="仿宋_GB2312" w:hAnsi="ˎ̥" w:eastAsia="仿宋_GB2312" w:cs="Times New Roman"/>
          <w:sz w:val="32"/>
          <w:szCs w:val="32"/>
        </w:rPr>
        <w:t>算0.00万元，占0%；公务用车购置及运行维护费支出决算1.06万元，占0%；公务接待费支出决算0.00万元，占0%。具体情况如下：</w:t>
      </w:r>
    </w:p>
    <w:p>
      <w:pPr>
        <w:spacing w:line="578" w:lineRule="exact"/>
        <w:ind w:firstLine="643" w:firstLineChars="200"/>
        <w:rPr>
          <w:rFonts w:hint="eastAsia" w:ascii="仿宋_GB2312" w:hAnsi="ˎ̥" w:eastAsia="仿宋_GB2312" w:cs="Times New Roman"/>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eastAsia" w:ascii="仿宋_GB2312" w:hAnsi="ˎ̥" w:eastAsia="仿宋_GB2312" w:cs="Times New Roman"/>
          <w:sz w:val="32"/>
          <w:szCs w:val="32"/>
        </w:rPr>
        <w:t>0.00万元。全年安排因公出国（境）团组0个，因公出国（境）0人次。开支内容包括：</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0支出0万元。主要用于……</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0支出0万元。主要用于……</w:t>
      </w:r>
    </w:p>
    <w:p>
      <w:pPr>
        <w:spacing w:line="578" w:lineRule="exact"/>
        <w:ind w:firstLine="640" w:firstLineChars="200"/>
        <w:rPr>
          <w:rFonts w:ascii="仿宋_GB2312" w:hAnsi="ˎ̥" w:eastAsia="仿宋_GB2312"/>
          <w:sz w:val="32"/>
          <w:szCs w:val="32"/>
        </w:rPr>
      </w:pPr>
      <w:r>
        <w:rPr>
          <w:rFonts w:hint="eastAsia" w:ascii="仿宋_GB2312" w:hAnsi="ˎ̥" w:eastAsia="仿宋_GB2312" w:cs="Times New Roman"/>
          <w:sz w:val="32"/>
          <w:szCs w:val="32"/>
        </w:rPr>
        <w:t>因公出国（境）费支出决算数比预算数增加（减少）0万元，完成预算的0%。与2023年度相比，因公出国（境）费支出增加（减少）0万元，增长（下降）0%，主要原</w:t>
      </w:r>
      <w:r>
        <w:rPr>
          <w:rFonts w:hint="eastAsia" w:ascii="仿宋_GB2312" w:hAnsi="ˎ̥" w:eastAsia="仿宋_GB2312"/>
          <w:sz w:val="32"/>
          <w:szCs w:val="32"/>
        </w:rPr>
        <w:t>因是……。</w:t>
      </w:r>
    </w:p>
    <w:p>
      <w:pPr>
        <w:spacing w:line="578" w:lineRule="exact"/>
        <w:rPr>
          <w:rFonts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Cs/>
          <w:sz w:val="32"/>
          <w:szCs w:val="32"/>
        </w:rPr>
        <w:t>支出</w:t>
      </w:r>
      <w:r>
        <w:rPr>
          <w:rFonts w:hint="eastAsia" w:ascii="仿宋_GB2312" w:hAnsi="ˎ̥" w:eastAsia="仿宋_GB2312" w:cs="Times New Roman"/>
          <w:sz w:val="32"/>
          <w:szCs w:val="32"/>
        </w:rPr>
        <w:t>1.06万元</w:t>
      </w:r>
      <w:r>
        <w:rPr>
          <w:rFonts w:hint="eastAsia" w:ascii="仿宋_GB2312" w:hAnsi="ˎ̥" w:eastAsia="仿宋_GB2312"/>
          <w:sz w:val="32"/>
          <w:szCs w:val="32"/>
        </w:rPr>
        <w:t>。其中：</w:t>
      </w:r>
    </w:p>
    <w:p>
      <w:pPr>
        <w:spacing w:line="578" w:lineRule="exact"/>
        <w:ind w:firstLine="643" w:firstLineChars="200"/>
        <w:rPr>
          <w:rFonts w:hint="eastAsia" w:ascii="仿宋_GB2312" w:hAnsi="ˎ̥" w:eastAsia="仿宋_GB2312" w:cs="Times New Roman"/>
          <w:sz w:val="32"/>
          <w:szCs w:val="32"/>
        </w:rPr>
      </w:pPr>
      <w:r>
        <w:rPr>
          <w:rFonts w:hint="eastAsia" w:ascii="仿宋_GB2312" w:hAnsi="ˎ̥" w:eastAsia="仿宋_GB2312"/>
          <w:b/>
          <w:sz w:val="32"/>
          <w:szCs w:val="32"/>
        </w:rPr>
        <w:t>公务用车购置</w:t>
      </w:r>
      <w:r>
        <w:rPr>
          <w:rFonts w:hint="eastAsia" w:ascii="仿宋_GB2312" w:hAnsi="ˎ̥" w:eastAsia="仿宋_GB2312"/>
          <w:bCs/>
          <w:sz w:val="32"/>
          <w:szCs w:val="32"/>
        </w:rPr>
        <w:t>支出</w:t>
      </w:r>
      <w:r>
        <w:rPr>
          <w:rFonts w:hint="eastAsia" w:ascii="仿宋_GB2312" w:hAnsi="ˎ̥" w:eastAsia="仿宋_GB2312" w:cs="Times New Roman"/>
          <w:sz w:val="32"/>
          <w:szCs w:val="32"/>
        </w:rPr>
        <w:t>0.00万元，全年购置公务用车0辆，主要用于……，年末公务用车保有量0辆。</w:t>
      </w:r>
    </w:p>
    <w:p>
      <w:pPr>
        <w:spacing w:line="578" w:lineRule="exact"/>
        <w:ind w:firstLine="643" w:firstLineChars="200"/>
        <w:rPr>
          <w:rFonts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eastAsia" w:ascii="仿宋_GB2312" w:hAnsi="ˎ̥" w:eastAsia="仿宋_GB2312" w:cs="Times New Roman"/>
          <w:sz w:val="32"/>
          <w:szCs w:val="32"/>
        </w:rPr>
        <w:t>1.06万元，</w:t>
      </w:r>
      <w:r>
        <w:rPr>
          <w:rFonts w:hint="eastAsia" w:ascii="仿宋_GB2312" w:hAnsi="ˎ̥" w:eastAsia="仿宋_GB2312"/>
          <w:sz w:val="32"/>
          <w:szCs w:val="32"/>
        </w:rPr>
        <w:t>主要用于报销本单位工作人员向后勤部门用车油料费等。</w:t>
      </w:r>
    </w:p>
    <w:p>
      <w:pPr>
        <w:spacing w:line="578" w:lineRule="exact"/>
        <w:ind w:firstLine="640" w:firstLineChars="200"/>
        <w:rPr>
          <w:rFonts w:hint="eastAsia" w:ascii="仿宋_GB2312" w:hAnsi="ˎ̥" w:eastAsia="仿宋_GB2312" w:cs="Times New Roman"/>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w:t>
      </w:r>
      <w:r>
        <w:rPr>
          <w:rFonts w:hint="eastAsia" w:ascii="仿宋_GB2312" w:hAnsi="ˎ̥" w:eastAsia="仿宋_GB2312" w:cs="Times New Roman"/>
          <w:bCs/>
          <w:sz w:val="32"/>
          <w:szCs w:val="32"/>
        </w:rPr>
        <w:t>少）0万元，完成预算的0%。与2023年度相比，公务用车购置及运行维护费支出增加（减少）0万元，增长（下降）0%，主要原因是……。</w:t>
      </w:r>
    </w:p>
    <w:p>
      <w:pPr>
        <w:spacing w:line="578" w:lineRule="exact"/>
        <w:rPr>
          <w:rFonts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Cs/>
          <w:sz w:val="32"/>
          <w:szCs w:val="32"/>
        </w:rPr>
        <w:t>支出</w:t>
      </w:r>
      <w:r>
        <w:rPr>
          <w:rFonts w:hint="eastAsia" w:ascii="仿宋_GB2312" w:hAnsi="ˎ̥" w:eastAsia="仿宋_GB2312" w:cs="Times New Roman"/>
          <w:sz w:val="32"/>
          <w:szCs w:val="32"/>
        </w:rPr>
        <w:t>0.00万</w:t>
      </w:r>
      <w:r>
        <w:rPr>
          <w:rFonts w:hint="eastAsia" w:ascii="仿宋_GB2312" w:hAnsi="ˎ̥" w:eastAsia="仿宋_GB2312"/>
          <w:sz w:val="32"/>
          <w:szCs w:val="32"/>
        </w:rPr>
        <w:t>元，其中：</w:t>
      </w:r>
    </w:p>
    <w:p>
      <w:pPr>
        <w:spacing w:line="578" w:lineRule="exact"/>
        <w:ind w:firstLine="643" w:firstLineChars="200"/>
        <w:rPr>
          <w:rFonts w:hint="eastAsia" w:ascii="仿宋_GB2312" w:hAnsi="ˎ̥" w:eastAsia="仿宋_GB2312" w:cs="Times New Roman"/>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s="Times New Roman"/>
          <w:sz w:val="32"/>
          <w:szCs w:val="32"/>
        </w:rPr>
        <w:t>0万元，国内公务接待0批次，接待0人次；主要用于……。</w:t>
      </w:r>
    </w:p>
    <w:p>
      <w:pPr>
        <w:spacing w:line="578" w:lineRule="exact"/>
        <w:ind w:firstLine="643" w:firstLineChars="200"/>
        <w:rPr>
          <w:rFonts w:hint="eastAsia" w:ascii="仿宋_GB2312" w:hAnsi="ˎ̥" w:eastAsia="仿宋_GB2312" w:cs="Times New Roman"/>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s="Times New Roman"/>
          <w:sz w:val="32"/>
          <w:szCs w:val="32"/>
        </w:rPr>
        <w:t>0万元，国（境）外公务接待0批次，接待0人次；主要用于……。</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sz w:val="32"/>
          <w:szCs w:val="32"/>
        </w:rPr>
        <w:t>公务接待费支出决算数比预算数增加（</w:t>
      </w:r>
      <w:r>
        <w:rPr>
          <w:rFonts w:hint="eastAsia" w:ascii="仿宋_GB2312" w:hAnsi="ˎ̥" w:eastAsia="仿宋_GB2312" w:cs="Times New Roman"/>
          <w:sz w:val="32"/>
          <w:szCs w:val="32"/>
        </w:rPr>
        <w:t>减少）0万元，完成预算的0%。与2023年度相比，公务接待费支出增加（减少）0万元，增长（下降）0%，主要原因是……。</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ascii="仿宋_GB2312" w:hAnsi="ˎ̥" w:eastAsia="仿宋_GB2312"/>
          <w:sz w:val="32"/>
          <w:szCs w:val="32"/>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ascii="仿宋_GB2312" w:hAnsi="ˎ̥" w:eastAsia="仿宋_GB2312"/>
          <w:sz w:val="32"/>
          <w:szCs w:val="32"/>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rPr>
        <w:t>。）</w:t>
      </w:r>
    </w:p>
    <w:p>
      <w:pPr>
        <w:spacing w:line="578" w:lineRule="exact"/>
        <w:ind w:firstLine="640" w:firstLineChars="200"/>
        <w:rPr>
          <w:rFonts w:ascii="黑体" w:hAnsi="黑体" w:eastAsia="黑体" w:cs="黑体"/>
          <w:bCs/>
          <w:sz w:val="32"/>
          <w:szCs w:val="32"/>
        </w:rPr>
      </w:pPr>
      <w:r>
        <w:rPr>
          <w:rFonts w:hint="eastAsia" w:ascii="黑体" w:hAnsi="黑体" w:eastAsia="黑体" w:cs="黑体"/>
          <w:bCs/>
          <w:sz w:val="32"/>
          <w:szCs w:val="32"/>
        </w:rPr>
        <w:t>十、预算绩效情况说明</w:t>
      </w:r>
    </w:p>
    <w:p>
      <w:pPr>
        <w:spacing w:line="578" w:lineRule="exact"/>
        <w:ind w:firstLine="640" w:firstLineChars="200"/>
        <w:rPr>
          <w:rFonts w:ascii="楷体" w:hAnsi="楷体" w:eastAsia="楷体" w:cs="楷体"/>
          <w:bCs/>
          <w:sz w:val="32"/>
          <w:szCs w:val="32"/>
        </w:rPr>
      </w:pPr>
      <w:r>
        <w:rPr>
          <w:rFonts w:hint="eastAsia" w:ascii="楷体" w:hAnsi="楷体" w:eastAsia="楷体" w:cs="楷体"/>
          <w:bCs/>
          <w:sz w:val="32"/>
          <w:szCs w:val="32"/>
        </w:rPr>
        <w:t>（一）绩效管理工作开展情况</w:t>
      </w:r>
    </w:p>
    <w:p>
      <w:pPr>
        <w:spacing w:line="578" w:lineRule="exact"/>
        <w:ind w:firstLine="640" w:firstLineChars="200"/>
        <w:rPr>
          <w:rFonts w:hint="eastAsia" w:ascii="仿宋_GB2312" w:hAnsi="Times New Roman" w:eastAsia="仿宋_GB2312" w:cs="Times New Roman"/>
          <w:sz w:val="32"/>
          <w:szCs w:val="32"/>
        </w:rPr>
      </w:pPr>
      <w:r>
        <w:rPr>
          <w:rFonts w:hint="eastAsia" w:ascii="仿宋_GB2312" w:eastAsia="仿宋_GB2312"/>
          <w:sz w:val="32"/>
          <w:szCs w:val="32"/>
        </w:rPr>
        <w:t>根据财政预算绩效管理要求，可按照如下格式说明：根据预算管理要求，我部门（单位）组织对</w:t>
      </w:r>
      <w:r>
        <w:rPr>
          <w:rFonts w:ascii="仿宋_GB2312" w:eastAsia="仿宋_GB2312"/>
          <w:sz w:val="32"/>
          <w:szCs w:val="32"/>
        </w:rPr>
        <w:t>2024</w:t>
      </w:r>
      <w:r>
        <w:rPr>
          <w:rFonts w:hint="eastAsia" w:ascii="仿宋_GB2312" w:eastAsia="仿宋_GB2312"/>
          <w:sz w:val="32"/>
          <w:szCs w:val="32"/>
        </w:rPr>
        <w:t>年度一般公共服务支出全面开展绩效自评</w:t>
      </w:r>
      <w:r>
        <w:rPr>
          <w:rFonts w:ascii="仿宋_GB2312" w:eastAsia="仿宋_GB2312"/>
          <w:sz w:val="32"/>
          <w:szCs w:val="32"/>
        </w:rPr>
        <w:t>,</w:t>
      </w:r>
      <w:r>
        <w:rPr>
          <w:rFonts w:hint="eastAsia" w:ascii="仿宋_GB2312" w:eastAsia="仿宋_GB2312"/>
          <w:sz w:val="32"/>
          <w:szCs w:val="32"/>
        </w:rPr>
        <w:t>共</w:t>
      </w:r>
      <w:r>
        <w:rPr>
          <w:rFonts w:hint="eastAsia" w:ascii="仿宋_GB2312" w:hAnsi="Times New Roman" w:eastAsia="仿宋_GB2312" w:cs="Times New Roman"/>
          <w:sz w:val="32"/>
          <w:szCs w:val="32"/>
        </w:rPr>
        <w:t>涉及资金0万元，占一般公共预算项目支出总额的0%。组织对2024年度政府性基金预算项目开展绩效自评，共涉及资金0万元，占政府性基金预算项目支出总额的0%。组织对2024年度0个国有资本经营预算项目开展绩效自评，共涉及资金 0万元，占国有资本经营预算项目支出总额的0%。</w:t>
      </w:r>
    </w:p>
    <w:p>
      <w:pPr>
        <w:spacing w:line="578"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共组织对“生态转移支付资金”等8个项目开展了部门评价，涉及一般公共预算支出0万元，政府性基金预算支出0万元，国有资本经营预算支出0万元。从评价情况来看，……（预算部门如有，请对预算绩效评价情况进行简单说明；没有，则简要说明本年没有进行相关工作及理由。部门所属单位不需填写此项）。</w:t>
      </w:r>
    </w:p>
    <w:p>
      <w:p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spacing w:line="578" w:lineRule="exact"/>
        <w:ind w:firstLine="640" w:firstLineChars="200"/>
        <w:rPr>
          <w:rFonts w:hint="eastAsia" w:ascii="仿宋_GB2312" w:hAnsi="Times New Roman" w:eastAsia="仿宋_GB2312" w:cs="Times New Roman"/>
          <w:sz w:val="32"/>
          <w:szCs w:val="32"/>
        </w:rPr>
      </w:pPr>
      <w:r>
        <w:rPr>
          <w:rFonts w:hint="eastAsia" w:ascii="仿宋_GB2312" w:eastAsia="仿宋_GB2312"/>
          <w:sz w:val="32"/>
          <w:szCs w:val="32"/>
        </w:rPr>
        <w:t>我部门（单位）在部门决算中反映</w:t>
      </w:r>
      <w:r>
        <w:rPr>
          <w:rFonts w:hint="eastAsia" w:ascii="仿宋_GB2312" w:hAnsi="Times New Roman" w:eastAsia="仿宋_GB2312" w:cs="Times New Roman"/>
          <w:sz w:val="32"/>
          <w:szCs w:val="32"/>
          <w:lang w:val="en-US" w:eastAsia="zh-CN"/>
        </w:rPr>
        <w:t>环境应急物资</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生态转移支付</w:t>
      </w:r>
      <w:r>
        <w:rPr>
          <w:rFonts w:hint="eastAsia" w:ascii="仿宋_GB2312" w:hAnsi="Times New Roman" w:eastAsia="仿宋_GB2312" w:cs="Times New Roman"/>
          <w:sz w:val="32"/>
          <w:szCs w:val="32"/>
        </w:rPr>
        <w:t>等</w:t>
      </w: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个项目绩效自评结果（包括项目绩效自评表和项目绩效自评报告）。</w:t>
      </w:r>
    </w:p>
    <w:p>
      <w:pPr>
        <w:spacing w:line="578"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环境应急物资</w:t>
      </w:r>
      <w:r>
        <w:rPr>
          <w:rFonts w:hint="eastAsia" w:ascii="仿宋_GB2312" w:hAnsi="Times New Roman" w:eastAsia="仿宋_GB2312" w:cs="Times New Roman"/>
          <w:sz w:val="32"/>
          <w:szCs w:val="32"/>
        </w:rPr>
        <w:t>项目绩效自评表：（可作为附件附后）</w:t>
      </w:r>
    </w:p>
    <w:tbl>
      <w:tblPr>
        <w:tblStyle w:val="8"/>
        <w:tblW w:w="9067" w:type="dxa"/>
        <w:jc w:val="center"/>
        <w:tblLayout w:type="fixed"/>
        <w:tblCellMar>
          <w:top w:w="0" w:type="dxa"/>
          <w:left w:w="108" w:type="dxa"/>
          <w:bottom w:w="0" w:type="dxa"/>
          <w:right w:w="108" w:type="dxa"/>
        </w:tblCellMar>
      </w:tblPr>
      <w:tblGrid>
        <w:gridCol w:w="9067"/>
      </w:tblGrid>
      <w:tr>
        <w:tblPrEx>
          <w:tblCellMar>
            <w:top w:w="0" w:type="dxa"/>
            <w:left w:w="108" w:type="dxa"/>
            <w:bottom w:w="0" w:type="dxa"/>
            <w:right w:w="108" w:type="dxa"/>
          </w:tblCellMar>
        </w:tblPrEx>
        <w:trPr>
          <w:trHeight w:val="1250" w:hRule="atLeast"/>
          <w:jc w:val="center"/>
        </w:trPr>
        <w:tc>
          <w:tcPr>
            <w:tcW w:w="9067" w:type="dxa"/>
            <w:vAlign w:val="center"/>
          </w:tcPr>
          <w:p>
            <w:pPr>
              <w:widowControl/>
              <w:jc w:val="center"/>
              <w:rPr>
                <w:rFonts w:hint="eastAsia" w:ascii="方正小标宋简体" w:hAnsi="宋体" w:eastAsia="方正小标宋简体" w:cs="宋体"/>
                <w:bCs/>
                <w:sz w:val="36"/>
                <w:szCs w:val="36"/>
                <w:lang w:val="en-US" w:eastAsia="zh-CN"/>
              </w:rPr>
            </w:pPr>
          </w:p>
          <w:p>
            <w:pPr>
              <w:widowControl/>
              <w:jc w:val="center"/>
              <w:rPr>
                <w:rFonts w:hint="eastAsia" w:ascii="方正小标宋简体" w:hAnsi="宋体" w:eastAsia="方正小标宋简体" w:cs="宋体"/>
                <w:bCs/>
                <w:sz w:val="36"/>
                <w:szCs w:val="36"/>
                <w:lang w:val="en-US" w:eastAsia="zh-CN"/>
              </w:rPr>
            </w:pPr>
          </w:p>
          <w:p>
            <w:pPr>
              <w:widowControl/>
              <w:jc w:val="both"/>
              <w:rPr>
                <w:rFonts w:hint="eastAsia" w:ascii="方正小标宋简体" w:hAnsi="宋体" w:eastAsia="方正小标宋简体" w:cs="宋体"/>
                <w:bCs/>
                <w:sz w:val="36"/>
                <w:szCs w:val="36"/>
                <w:lang w:val="en-US" w:eastAsia="zh-CN"/>
              </w:rPr>
            </w:pPr>
          </w:p>
          <w:p>
            <w:pPr>
              <w:widowControl/>
              <w:jc w:val="center"/>
              <w:rPr>
                <w:rFonts w:ascii="方正小标宋简体" w:hAnsi="宋体" w:eastAsia="方正小标宋简体" w:cs="宋体"/>
                <w:bCs/>
                <w:sz w:val="36"/>
                <w:szCs w:val="36"/>
              </w:rPr>
            </w:pPr>
            <w:r>
              <w:rPr>
                <w:rFonts w:hint="eastAsia" w:ascii="方正小标宋简体" w:hAnsi="宋体" w:eastAsia="方正小标宋简体" w:cs="宋体"/>
                <w:bCs/>
                <w:sz w:val="36"/>
                <w:szCs w:val="36"/>
                <w:lang w:val="en-US" w:eastAsia="zh-CN"/>
              </w:rPr>
              <w:t>申扎</w:t>
            </w:r>
            <w:r>
              <w:rPr>
                <w:rFonts w:hint="eastAsia" w:ascii="方正小标宋简体" w:hAnsi="宋体" w:eastAsia="方正小标宋简体" w:cs="宋体"/>
                <w:bCs/>
                <w:sz w:val="36"/>
                <w:szCs w:val="36"/>
                <w:lang w:eastAsia="zh-CN"/>
              </w:rPr>
              <w:t>县</w:t>
            </w:r>
            <w:r>
              <w:rPr>
                <w:rFonts w:hint="eastAsia" w:ascii="方正小标宋简体" w:hAnsi="宋体" w:eastAsia="方正小标宋简体" w:cs="宋体"/>
                <w:bCs/>
                <w:sz w:val="36"/>
                <w:szCs w:val="36"/>
              </w:rPr>
              <w:t>本级部门预算支出绩效自评表</w:t>
            </w:r>
          </w:p>
          <w:p>
            <w:pPr>
              <w:widowControl/>
              <w:jc w:val="center"/>
              <w:rPr>
                <w:rFonts w:ascii="方正小标宋简体" w:hAnsi="宋体" w:eastAsia="方正小标宋简体" w:cs="宋体"/>
                <w:bCs/>
                <w:sz w:val="36"/>
                <w:szCs w:val="36"/>
              </w:rPr>
            </w:pPr>
            <w:r>
              <w:rPr>
                <w:rFonts w:hint="eastAsia" w:ascii="楷体" w:hAnsi="楷体" w:eastAsia="楷体" w:cs="宋体"/>
                <w:sz w:val="24"/>
              </w:rPr>
              <w:t>（　</w:t>
            </w:r>
            <w:r>
              <w:rPr>
                <w:rFonts w:hint="eastAsia" w:ascii="楷体" w:hAnsi="楷体" w:eastAsia="楷体" w:cs="宋体"/>
                <w:sz w:val="24"/>
                <w:lang w:val="en-US" w:eastAsia="zh-CN"/>
              </w:rPr>
              <w:t>2024</w:t>
            </w:r>
            <w:r>
              <w:rPr>
                <w:rFonts w:hint="eastAsia" w:ascii="楷体" w:hAnsi="楷体" w:eastAsia="楷体" w:cs="宋体"/>
                <w:sz w:val="24"/>
              </w:rPr>
              <w:t>年度）</w:t>
            </w:r>
          </w:p>
        </w:tc>
      </w:tr>
    </w:tbl>
    <w:p>
      <w:pPr>
        <w:spacing w:line="240" w:lineRule="atLeast"/>
        <w:rPr>
          <w:rFonts w:ascii="方正仿宋简体" w:hAnsi="仿宋"/>
          <w:sz w:val="18"/>
          <w:szCs w:val="18"/>
        </w:rPr>
      </w:pPr>
      <w:r>
        <w:rPr>
          <w:rFonts w:hint="eastAsia" w:ascii="方正仿宋简体" w:hAnsi="仿宋"/>
          <w:sz w:val="18"/>
          <w:szCs w:val="18"/>
        </w:rPr>
        <w:t>填报机构：</w:t>
      </w:r>
      <w:r>
        <w:rPr>
          <w:rFonts w:hint="eastAsia" w:ascii="方正仿宋简体" w:hAnsi="仿宋"/>
          <w:sz w:val="18"/>
          <w:szCs w:val="18"/>
          <w:lang w:val="en-US" w:eastAsia="zh-CN"/>
        </w:rPr>
        <w:t>那曲市生态环境局申扎县分局</w:t>
      </w:r>
      <w:r>
        <w:rPr>
          <w:rFonts w:hint="eastAsia" w:ascii="方正仿宋简体" w:hAnsi="仿宋"/>
          <w:sz w:val="18"/>
          <w:szCs w:val="18"/>
        </w:rPr>
        <w:t xml:space="preserve">                      填报日期： </w:t>
      </w:r>
      <w:r>
        <w:rPr>
          <w:rFonts w:hint="eastAsia" w:ascii="方正仿宋简体" w:hAnsi="仿宋"/>
          <w:sz w:val="18"/>
          <w:szCs w:val="18"/>
          <w:lang w:val="en-US" w:eastAsia="zh-CN"/>
        </w:rPr>
        <w:t>2024</w:t>
      </w:r>
      <w:r>
        <w:rPr>
          <w:rFonts w:hint="eastAsia" w:ascii="方正仿宋简体" w:hAnsi="仿宋"/>
          <w:sz w:val="18"/>
          <w:szCs w:val="18"/>
        </w:rPr>
        <w:t xml:space="preserve">  年 </w:t>
      </w:r>
      <w:r>
        <w:rPr>
          <w:rFonts w:hint="eastAsia" w:ascii="方正仿宋简体" w:hAnsi="仿宋"/>
          <w:sz w:val="18"/>
          <w:szCs w:val="18"/>
          <w:lang w:val="en-US" w:eastAsia="zh-CN"/>
        </w:rPr>
        <w:t>12</w:t>
      </w:r>
      <w:r>
        <w:rPr>
          <w:rFonts w:hint="eastAsia" w:ascii="方正仿宋简体" w:hAnsi="仿宋"/>
          <w:sz w:val="18"/>
          <w:szCs w:val="18"/>
        </w:rPr>
        <w:t xml:space="preserve"> 月  </w:t>
      </w:r>
      <w:r>
        <w:rPr>
          <w:rFonts w:hint="eastAsia" w:ascii="方正仿宋简体" w:hAnsi="仿宋"/>
          <w:sz w:val="18"/>
          <w:szCs w:val="18"/>
          <w:lang w:val="en-US" w:eastAsia="zh-CN"/>
        </w:rPr>
        <w:t>17</w:t>
      </w:r>
      <w:r>
        <w:rPr>
          <w:rFonts w:hint="eastAsia" w:ascii="方正仿宋简体" w:hAnsi="仿宋"/>
          <w:sz w:val="18"/>
          <w:szCs w:val="18"/>
        </w:rPr>
        <w:t xml:space="preserve"> 日</w:t>
      </w:r>
    </w:p>
    <w:tbl>
      <w:tblPr>
        <w:tblStyle w:val="8"/>
        <w:tblW w:w="9075" w:type="dxa"/>
        <w:jc w:val="center"/>
        <w:tblLayout w:type="fixed"/>
        <w:tblCellMar>
          <w:top w:w="0" w:type="dxa"/>
          <w:left w:w="108" w:type="dxa"/>
          <w:bottom w:w="0" w:type="dxa"/>
          <w:right w:w="108" w:type="dxa"/>
        </w:tblCellMar>
      </w:tblPr>
      <w:tblGrid>
        <w:gridCol w:w="587"/>
        <w:gridCol w:w="693"/>
        <w:gridCol w:w="351"/>
        <w:gridCol w:w="909"/>
        <w:gridCol w:w="722"/>
        <w:gridCol w:w="144"/>
        <w:gridCol w:w="1133"/>
        <w:gridCol w:w="416"/>
        <w:gridCol w:w="1230"/>
        <w:gridCol w:w="825"/>
        <w:gridCol w:w="131"/>
        <w:gridCol w:w="375"/>
        <w:gridCol w:w="229"/>
        <w:gridCol w:w="622"/>
        <w:gridCol w:w="79"/>
        <w:gridCol w:w="629"/>
      </w:tblGrid>
      <w:tr>
        <w:trPr>
          <w:trHeight w:val="300" w:hRule="exact"/>
          <w:jc w:val="center"/>
        </w:trPr>
        <w:tc>
          <w:tcPr>
            <w:tcW w:w="12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项目名称</w:t>
            </w:r>
          </w:p>
        </w:tc>
        <w:tc>
          <w:tcPr>
            <w:tcW w:w="7795" w:type="dxa"/>
            <w:gridSpan w:val="14"/>
            <w:tcBorders>
              <w:top w:val="single" w:color="auto" w:sz="4" w:space="0"/>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环境应急物资采购项目</w:t>
            </w:r>
          </w:p>
        </w:tc>
      </w:tr>
      <w:tr>
        <w:tblPrEx>
          <w:tblCellMar>
            <w:top w:w="0" w:type="dxa"/>
            <w:left w:w="108" w:type="dxa"/>
            <w:bottom w:w="0" w:type="dxa"/>
            <w:right w:w="108" w:type="dxa"/>
          </w:tblCellMar>
        </w:tblPrEx>
        <w:trPr>
          <w:trHeight w:val="300" w:hRule="exact"/>
          <w:jc w:val="center"/>
        </w:trPr>
        <w:tc>
          <w:tcPr>
            <w:tcW w:w="12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主管部门</w:t>
            </w:r>
          </w:p>
        </w:tc>
        <w:tc>
          <w:tcPr>
            <w:tcW w:w="4905" w:type="dxa"/>
            <w:gridSpan w:val="7"/>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825"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实施单位</w:t>
            </w:r>
          </w:p>
        </w:tc>
        <w:tc>
          <w:tcPr>
            <w:tcW w:w="2065" w:type="dxa"/>
            <w:gridSpan w:val="6"/>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128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项目资金</w:t>
            </w:r>
            <w:r>
              <w:rPr>
                <w:rFonts w:hint="eastAsia" w:ascii="方正仿宋简体" w:hAnsi="宋体" w:cs="宋体"/>
                <w:sz w:val="18"/>
                <w:szCs w:val="18"/>
              </w:rPr>
              <w:br w:type="textWrapping"/>
            </w:r>
            <w:r>
              <w:rPr>
                <w:rFonts w:hint="eastAsia" w:ascii="方正仿宋简体" w:hAnsi="宋体" w:cs="宋体"/>
                <w:sz w:val="18"/>
                <w:szCs w:val="18"/>
              </w:rPr>
              <w:t>（万元）</w:t>
            </w:r>
          </w:p>
        </w:tc>
        <w:tc>
          <w:tcPr>
            <w:tcW w:w="2126" w:type="dxa"/>
            <w:gridSpan w:val="4"/>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1133"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年初预算数</w:t>
            </w:r>
          </w:p>
        </w:tc>
        <w:tc>
          <w:tcPr>
            <w:tcW w:w="164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全年预算数</w:t>
            </w:r>
          </w:p>
        </w:tc>
        <w:tc>
          <w:tcPr>
            <w:tcW w:w="825"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全年执行数</w:t>
            </w:r>
          </w:p>
        </w:tc>
        <w:tc>
          <w:tcPr>
            <w:tcW w:w="50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执行率</w:t>
            </w:r>
          </w:p>
        </w:tc>
        <w:tc>
          <w:tcPr>
            <w:tcW w:w="708"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得分</w:t>
            </w:r>
          </w:p>
        </w:tc>
      </w:tr>
      <w:tr>
        <w:tblPrEx>
          <w:tblCellMar>
            <w:top w:w="0" w:type="dxa"/>
            <w:left w:w="108" w:type="dxa"/>
            <w:bottom w:w="0" w:type="dxa"/>
            <w:right w:w="108" w:type="dxa"/>
          </w:tblCellMar>
        </w:tblPrEx>
        <w:trPr>
          <w:trHeight w:val="300" w:hRule="exact"/>
          <w:jc w:val="center"/>
        </w:trPr>
        <w:tc>
          <w:tcPr>
            <w:tcW w:w="12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2126" w:type="dxa"/>
            <w:gridSpan w:val="4"/>
            <w:tcBorders>
              <w:top w:val="single" w:color="auto" w:sz="4" w:space="0"/>
              <w:left w:val="nil"/>
              <w:bottom w:val="single" w:color="auto" w:sz="4" w:space="0"/>
              <w:right w:val="single" w:color="auto" w:sz="4" w:space="0"/>
            </w:tcBorders>
            <w:vAlign w:val="center"/>
          </w:tcPr>
          <w:p>
            <w:pPr>
              <w:widowControl/>
              <w:rPr>
                <w:rFonts w:ascii="方正仿宋简体" w:hAnsi="宋体" w:cs="宋体"/>
                <w:sz w:val="18"/>
                <w:szCs w:val="18"/>
              </w:rPr>
            </w:pPr>
            <w:r>
              <w:rPr>
                <w:rFonts w:hint="eastAsia" w:ascii="方正仿宋简体" w:hAnsi="宋体" w:cs="宋体"/>
                <w:sz w:val="18"/>
                <w:szCs w:val="18"/>
              </w:rPr>
              <w:t>年度资金总额</w:t>
            </w:r>
          </w:p>
        </w:tc>
        <w:tc>
          <w:tcPr>
            <w:tcW w:w="1133" w:type="dxa"/>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28.37</w:t>
            </w:r>
          </w:p>
        </w:tc>
        <w:tc>
          <w:tcPr>
            <w:tcW w:w="164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825" w:type="dxa"/>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28.37</w:t>
            </w:r>
          </w:p>
        </w:tc>
        <w:tc>
          <w:tcPr>
            <w:tcW w:w="50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100%</w:t>
            </w:r>
          </w:p>
        </w:tc>
        <w:tc>
          <w:tcPr>
            <w:tcW w:w="708"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2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2126" w:type="dxa"/>
            <w:gridSpan w:val="4"/>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其中：当年财政拨款</w:t>
            </w:r>
          </w:p>
        </w:tc>
        <w:tc>
          <w:tcPr>
            <w:tcW w:w="1133"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164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825"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50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708"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w:t>
            </w:r>
          </w:p>
        </w:tc>
      </w:tr>
      <w:tr>
        <w:tblPrEx>
          <w:tblCellMar>
            <w:top w:w="0" w:type="dxa"/>
            <w:left w:w="108" w:type="dxa"/>
            <w:bottom w:w="0" w:type="dxa"/>
            <w:right w:w="108" w:type="dxa"/>
          </w:tblCellMar>
        </w:tblPrEx>
        <w:trPr>
          <w:trHeight w:val="300" w:hRule="exact"/>
          <w:jc w:val="center"/>
        </w:trPr>
        <w:tc>
          <w:tcPr>
            <w:tcW w:w="12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2126" w:type="dxa"/>
            <w:gridSpan w:val="4"/>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 xml:space="preserve">      上年结转资金</w:t>
            </w:r>
          </w:p>
        </w:tc>
        <w:tc>
          <w:tcPr>
            <w:tcW w:w="1133"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164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825"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50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708"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w:t>
            </w:r>
          </w:p>
        </w:tc>
      </w:tr>
      <w:tr>
        <w:tblPrEx>
          <w:tblCellMar>
            <w:top w:w="0" w:type="dxa"/>
            <w:left w:w="108" w:type="dxa"/>
            <w:bottom w:w="0" w:type="dxa"/>
            <w:right w:w="108" w:type="dxa"/>
          </w:tblCellMar>
        </w:tblPrEx>
        <w:trPr>
          <w:trHeight w:val="300" w:hRule="exact"/>
          <w:jc w:val="center"/>
        </w:trPr>
        <w:tc>
          <w:tcPr>
            <w:tcW w:w="12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2126" w:type="dxa"/>
            <w:gridSpan w:val="4"/>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 xml:space="preserve">  其他资金</w:t>
            </w:r>
          </w:p>
        </w:tc>
        <w:tc>
          <w:tcPr>
            <w:tcW w:w="1133"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164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825"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50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708"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w:t>
            </w:r>
          </w:p>
        </w:tc>
      </w:tr>
      <w:tr>
        <w:tblPrEx>
          <w:tblCellMar>
            <w:top w:w="0" w:type="dxa"/>
            <w:left w:w="108" w:type="dxa"/>
            <w:bottom w:w="0" w:type="dxa"/>
            <w:right w:w="108" w:type="dxa"/>
          </w:tblCellMar>
        </w:tblPrEx>
        <w:trPr>
          <w:trHeight w:val="381" w:hRule="exact"/>
          <w:jc w:val="center"/>
        </w:trPr>
        <w:tc>
          <w:tcPr>
            <w:tcW w:w="587"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年度总体目标</w:t>
            </w:r>
          </w:p>
        </w:tc>
        <w:tc>
          <w:tcPr>
            <w:tcW w:w="5598" w:type="dxa"/>
            <w:gridSpan w:val="8"/>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预期目标</w:t>
            </w:r>
          </w:p>
        </w:tc>
        <w:tc>
          <w:tcPr>
            <w:tcW w:w="2890" w:type="dxa"/>
            <w:gridSpan w:val="7"/>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实际完成情况</w:t>
            </w:r>
          </w:p>
        </w:tc>
      </w:tr>
      <w:tr>
        <w:tblPrEx>
          <w:tblCellMar>
            <w:top w:w="0" w:type="dxa"/>
            <w:left w:w="108" w:type="dxa"/>
            <w:bottom w:w="0" w:type="dxa"/>
            <w:right w:w="108" w:type="dxa"/>
          </w:tblCellMar>
        </w:tblPrEx>
        <w:trPr>
          <w:trHeight w:val="655"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5598" w:type="dxa"/>
            <w:gridSpan w:val="8"/>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宋体" w:hAnsi="宋体" w:eastAsia="宋体" w:cs="宋体"/>
                <w:color w:val="000000"/>
                <w:sz w:val="18"/>
                <w:szCs w:val="18"/>
                <w:lang w:val="en-US" w:eastAsia="zh-CN"/>
              </w:rPr>
              <w:t>为建立健全申扎县突发环境事件</w:t>
            </w:r>
            <w:r>
              <w:rPr>
                <w:rFonts w:hint="eastAsia" w:ascii="宋体" w:hAnsi="宋体" w:eastAsia="宋体" w:cs="宋体"/>
                <w:color w:val="000000"/>
                <w:sz w:val="18"/>
                <w:szCs w:val="18"/>
                <w:lang w:val="en-US" w:eastAsia="zh-CN"/>
              </w:rPr>
              <w:t>急能力，加强环境突</w:t>
            </w:r>
            <w:r>
              <w:rPr>
                <w:rFonts w:hint="eastAsia" w:ascii="宋体" w:hAnsi="宋体" w:eastAsia="宋体" w:cs="宋体"/>
                <w:color w:val="000000"/>
                <w:sz w:val="18"/>
                <w:szCs w:val="18"/>
                <w:lang w:val="en-US" w:eastAsia="zh-CN"/>
              </w:rPr>
              <w:t>应</w:t>
            </w:r>
            <w:r>
              <w:rPr>
                <w:rFonts w:hint="eastAsia" w:ascii="宋体" w:hAnsi="宋体" w:eastAsia="宋体" w:cs="宋体"/>
                <w:color w:val="000000"/>
                <w:sz w:val="18"/>
                <w:szCs w:val="18"/>
                <w:lang w:val="en-US" w:eastAsia="zh-CN"/>
              </w:rPr>
              <w:t>发事件应急物资储备</w:t>
            </w:r>
          </w:p>
        </w:tc>
        <w:tc>
          <w:tcPr>
            <w:tcW w:w="2890" w:type="dxa"/>
            <w:gridSpan w:val="7"/>
            <w:tcBorders>
              <w:top w:val="single" w:color="auto" w:sz="4" w:space="0"/>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完成</w:t>
            </w:r>
          </w:p>
        </w:tc>
      </w:tr>
      <w:tr>
        <w:tblPrEx>
          <w:tblCellMar>
            <w:top w:w="0" w:type="dxa"/>
            <w:left w:w="108" w:type="dxa"/>
            <w:bottom w:w="0" w:type="dxa"/>
            <w:right w:w="108" w:type="dxa"/>
          </w:tblCellMar>
        </w:tblPrEx>
        <w:trPr>
          <w:trHeight w:val="1288" w:hRule="exact"/>
          <w:jc w:val="center"/>
        </w:trPr>
        <w:tc>
          <w:tcPr>
            <w:tcW w:w="587"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绩</w:t>
            </w:r>
            <w:r>
              <w:rPr>
                <w:rFonts w:hint="eastAsia" w:ascii="方正仿宋简体" w:hAnsi="宋体" w:cs="宋体"/>
                <w:sz w:val="18"/>
                <w:szCs w:val="18"/>
              </w:rPr>
              <w:br w:type="textWrapping"/>
            </w:r>
            <w:r>
              <w:rPr>
                <w:rFonts w:hint="eastAsia" w:ascii="方正仿宋简体" w:hAnsi="宋体" w:cs="宋体"/>
                <w:sz w:val="18"/>
                <w:szCs w:val="18"/>
              </w:rPr>
              <w:t>效</w:t>
            </w:r>
            <w:r>
              <w:rPr>
                <w:rFonts w:hint="eastAsia" w:ascii="方正仿宋简体" w:hAnsi="宋体" w:cs="宋体"/>
                <w:sz w:val="18"/>
                <w:szCs w:val="18"/>
              </w:rPr>
              <w:br w:type="textWrapping"/>
            </w:r>
            <w:r>
              <w:rPr>
                <w:rFonts w:hint="eastAsia" w:ascii="方正仿宋简体" w:hAnsi="宋体" w:cs="宋体"/>
                <w:sz w:val="18"/>
                <w:szCs w:val="18"/>
              </w:rPr>
              <w:t>指</w:t>
            </w:r>
            <w:r>
              <w:rPr>
                <w:rFonts w:hint="eastAsia" w:ascii="方正仿宋简体" w:hAnsi="宋体" w:cs="宋体"/>
                <w:sz w:val="18"/>
                <w:szCs w:val="18"/>
              </w:rPr>
              <w:br w:type="textWrapping"/>
            </w:r>
            <w:r>
              <w:rPr>
                <w:rFonts w:hint="eastAsia" w:ascii="方正仿宋简体" w:hAnsi="宋体" w:cs="宋体"/>
                <w:sz w:val="18"/>
                <w:szCs w:val="18"/>
              </w:rPr>
              <w:t>标</w:t>
            </w:r>
          </w:p>
        </w:tc>
        <w:tc>
          <w:tcPr>
            <w:tcW w:w="693"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一级指标</w:t>
            </w:r>
          </w:p>
        </w:tc>
        <w:tc>
          <w:tcPr>
            <w:tcW w:w="1260"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二级指标</w:t>
            </w:r>
          </w:p>
        </w:tc>
        <w:tc>
          <w:tcPr>
            <w:tcW w:w="2415" w:type="dxa"/>
            <w:gridSpan w:val="4"/>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三级指标</w:t>
            </w:r>
          </w:p>
        </w:tc>
        <w:tc>
          <w:tcPr>
            <w:tcW w:w="1230"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年度</w:t>
            </w:r>
          </w:p>
          <w:p>
            <w:pPr>
              <w:widowControl/>
              <w:jc w:val="center"/>
              <w:rPr>
                <w:rFonts w:ascii="方正仿宋简体" w:hAnsi="宋体" w:cs="宋体"/>
                <w:sz w:val="18"/>
                <w:szCs w:val="18"/>
              </w:rPr>
            </w:pPr>
            <w:r>
              <w:rPr>
                <w:rFonts w:hint="eastAsia" w:ascii="方正仿宋简体" w:hAnsi="宋体" w:cs="宋体"/>
                <w:sz w:val="18"/>
                <w:szCs w:val="18"/>
              </w:rPr>
              <w:t>指标值</w:t>
            </w:r>
          </w:p>
        </w:tc>
        <w:tc>
          <w:tcPr>
            <w:tcW w:w="95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实际</w:t>
            </w:r>
          </w:p>
          <w:p>
            <w:pPr>
              <w:widowControl/>
              <w:jc w:val="center"/>
              <w:rPr>
                <w:rFonts w:ascii="方正仿宋简体" w:hAnsi="宋体" w:cs="宋体"/>
                <w:sz w:val="18"/>
                <w:szCs w:val="18"/>
              </w:rPr>
            </w:pPr>
            <w:r>
              <w:rPr>
                <w:rFonts w:hint="eastAsia" w:ascii="方正仿宋简体" w:hAnsi="宋体" w:cs="宋体"/>
                <w:sz w:val="18"/>
                <w:szCs w:val="18"/>
              </w:rPr>
              <w:t>完成值</w:t>
            </w:r>
          </w:p>
        </w:tc>
        <w:tc>
          <w:tcPr>
            <w:tcW w:w="604"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分值</w:t>
            </w:r>
          </w:p>
        </w:tc>
        <w:tc>
          <w:tcPr>
            <w:tcW w:w="701"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得分</w:t>
            </w: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产出指标</w:t>
            </w:r>
          </w:p>
          <w:p>
            <w:pPr>
              <w:widowControl/>
              <w:jc w:val="center"/>
              <w:rPr>
                <w:rFonts w:ascii="方正仿宋简体" w:hAnsi="宋体" w:cs="宋体"/>
                <w:sz w:val="18"/>
                <w:szCs w:val="18"/>
              </w:rPr>
            </w:pPr>
            <w:r>
              <w:rPr>
                <w:rFonts w:hint="eastAsia" w:ascii="方正仿宋简体" w:hAnsi="宋体" w:cs="宋体"/>
                <w:sz w:val="18"/>
                <w:szCs w:val="18"/>
              </w:rPr>
              <w:t>(50分)</w:t>
            </w:r>
          </w:p>
        </w:tc>
        <w:tc>
          <w:tcPr>
            <w:tcW w:w="1260"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数量指标</w:t>
            </w: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hint="default"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应急物资品种</w:t>
            </w:r>
          </w:p>
        </w:tc>
        <w:tc>
          <w:tcPr>
            <w:tcW w:w="1230" w:type="dxa"/>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5</w:t>
            </w:r>
          </w:p>
        </w:tc>
        <w:tc>
          <w:tcPr>
            <w:tcW w:w="956" w:type="dxa"/>
            <w:gridSpan w:val="2"/>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5</w:t>
            </w:r>
          </w:p>
        </w:tc>
        <w:tc>
          <w:tcPr>
            <w:tcW w:w="604"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w:t>
            </w:r>
          </w:p>
        </w:tc>
        <w:tc>
          <w:tcPr>
            <w:tcW w:w="701"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w:t>
            </w: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hint="default"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应急物资数量（吨）</w:t>
            </w:r>
          </w:p>
        </w:tc>
        <w:tc>
          <w:tcPr>
            <w:tcW w:w="1230" w:type="dxa"/>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3</w:t>
            </w:r>
          </w:p>
        </w:tc>
        <w:tc>
          <w:tcPr>
            <w:tcW w:w="956" w:type="dxa"/>
            <w:gridSpan w:val="2"/>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3</w:t>
            </w:r>
          </w:p>
        </w:tc>
        <w:tc>
          <w:tcPr>
            <w:tcW w:w="604"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w:t>
            </w:r>
          </w:p>
        </w:tc>
        <w:tc>
          <w:tcPr>
            <w:tcW w:w="701"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w:t>
            </w: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质量指标</w:t>
            </w: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hint="default"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采购应急物资质量合率格率</w:t>
            </w:r>
          </w:p>
        </w:tc>
        <w:tc>
          <w:tcPr>
            <w:tcW w:w="1230" w:type="dxa"/>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100%</w:t>
            </w:r>
          </w:p>
        </w:tc>
        <w:tc>
          <w:tcPr>
            <w:tcW w:w="956"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100%%</w:t>
            </w:r>
          </w:p>
        </w:tc>
        <w:tc>
          <w:tcPr>
            <w:tcW w:w="604" w:type="dxa"/>
            <w:gridSpan w:val="2"/>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5</w:t>
            </w:r>
          </w:p>
        </w:tc>
        <w:tc>
          <w:tcPr>
            <w:tcW w:w="701" w:type="dxa"/>
            <w:gridSpan w:val="2"/>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5</w:t>
            </w: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hint="default"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应急物资保管确保不损坏</w:t>
            </w:r>
          </w:p>
        </w:tc>
        <w:tc>
          <w:tcPr>
            <w:tcW w:w="1230" w:type="dxa"/>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100%</w:t>
            </w:r>
          </w:p>
        </w:tc>
        <w:tc>
          <w:tcPr>
            <w:tcW w:w="956"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99%</w:t>
            </w:r>
          </w:p>
        </w:tc>
        <w:tc>
          <w:tcPr>
            <w:tcW w:w="604" w:type="dxa"/>
            <w:gridSpan w:val="2"/>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5</w:t>
            </w:r>
          </w:p>
        </w:tc>
        <w:tc>
          <w:tcPr>
            <w:tcW w:w="701"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4.9</w:t>
            </w: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时效指标</w:t>
            </w: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hint="default"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项目实施周期</w:t>
            </w:r>
          </w:p>
        </w:tc>
        <w:tc>
          <w:tcPr>
            <w:tcW w:w="1230" w:type="dxa"/>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1年</w:t>
            </w:r>
          </w:p>
        </w:tc>
        <w:tc>
          <w:tcPr>
            <w:tcW w:w="956"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1年</w:t>
            </w:r>
          </w:p>
        </w:tc>
        <w:tc>
          <w:tcPr>
            <w:tcW w:w="604"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w:t>
            </w:r>
          </w:p>
        </w:tc>
        <w:tc>
          <w:tcPr>
            <w:tcW w:w="701"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w:t>
            </w: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ascii="方正仿宋简体" w:hAnsi="宋体" w:cs="宋体"/>
                <w:color w:val="000000"/>
                <w:sz w:val="18"/>
                <w:szCs w:val="18"/>
              </w:rPr>
            </w:pPr>
          </w:p>
        </w:tc>
        <w:tc>
          <w:tcPr>
            <w:tcW w:w="1230"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95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604"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701"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成本指标</w:t>
            </w: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ascii="方正仿宋简体" w:hAnsi="宋体" w:cs="宋体"/>
                <w:color w:val="000000"/>
                <w:sz w:val="18"/>
                <w:szCs w:val="18"/>
              </w:rPr>
            </w:pPr>
            <w:r>
              <w:rPr>
                <w:rFonts w:hint="eastAsia" w:ascii="方正仿宋简体" w:hAnsi="宋体" w:cs="宋体"/>
                <w:color w:val="000000"/>
                <w:sz w:val="18"/>
                <w:szCs w:val="18"/>
                <w:lang w:val="en-US" w:eastAsia="zh-CN"/>
              </w:rPr>
              <w:t>应急物资采购经费</w:t>
            </w:r>
          </w:p>
        </w:tc>
        <w:tc>
          <w:tcPr>
            <w:tcW w:w="1230" w:type="dxa"/>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28.37万元</w:t>
            </w:r>
          </w:p>
        </w:tc>
        <w:tc>
          <w:tcPr>
            <w:tcW w:w="956"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28.37万元</w:t>
            </w:r>
          </w:p>
        </w:tc>
        <w:tc>
          <w:tcPr>
            <w:tcW w:w="604"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w:t>
            </w:r>
          </w:p>
        </w:tc>
        <w:tc>
          <w:tcPr>
            <w:tcW w:w="701"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w:t>
            </w: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ascii="方正仿宋简体" w:hAnsi="宋体" w:cs="宋体"/>
                <w:color w:val="000000"/>
                <w:sz w:val="18"/>
                <w:szCs w:val="18"/>
              </w:rPr>
            </w:pPr>
          </w:p>
        </w:tc>
        <w:tc>
          <w:tcPr>
            <w:tcW w:w="1230"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95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604"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701"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效益指标</w:t>
            </w:r>
          </w:p>
          <w:p>
            <w:pPr>
              <w:widowControl/>
              <w:jc w:val="center"/>
              <w:rPr>
                <w:rFonts w:ascii="方正仿宋简体" w:hAnsi="宋体" w:cs="宋体"/>
                <w:sz w:val="18"/>
                <w:szCs w:val="18"/>
              </w:rPr>
            </w:pPr>
            <w:r>
              <w:rPr>
                <w:rFonts w:hint="eastAsia" w:ascii="方正仿宋简体" w:hAnsi="宋体" w:cs="宋体"/>
                <w:sz w:val="18"/>
                <w:szCs w:val="18"/>
              </w:rPr>
              <w:t>（30分）</w:t>
            </w:r>
          </w:p>
        </w:tc>
        <w:tc>
          <w:tcPr>
            <w:tcW w:w="1260"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经济效益</w:t>
            </w:r>
          </w:p>
          <w:p>
            <w:pPr>
              <w:widowControl/>
              <w:jc w:val="center"/>
              <w:rPr>
                <w:rFonts w:ascii="方正仿宋简体" w:hAnsi="宋体" w:cs="宋体"/>
                <w:sz w:val="18"/>
                <w:szCs w:val="18"/>
              </w:rPr>
            </w:pPr>
            <w:r>
              <w:rPr>
                <w:rFonts w:hint="eastAsia" w:ascii="方正仿宋简体" w:hAnsi="宋体" w:cs="宋体"/>
                <w:sz w:val="18"/>
                <w:szCs w:val="18"/>
              </w:rPr>
              <w:t>指标</w:t>
            </w: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hint="default"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成本节约</w:t>
            </w:r>
          </w:p>
        </w:tc>
        <w:tc>
          <w:tcPr>
            <w:tcW w:w="1230" w:type="dxa"/>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效果明显</w:t>
            </w:r>
          </w:p>
        </w:tc>
        <w:tc>
          <w:tcPr>
            <w:tcW w:w="956"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效果明显</w:t>
            </w:r>
          </w:p>
        </w:tc>
        <w:tc>
          <w:tcPr>
            <w:tcW w:w="604"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w:t>
            </w:r>
          </w:p>
        </w:tc>
        <w:tc>
          <w:tcPr>
            <w:tcW w:w="701" w:type="dxa"/>
            <w:gridSpan w:val="2"/>
            <w:tcBorders>
              <w:top w:val="nil"/>
              <w:left w:val="nil"/>
              <w:bottom w:val="single" w:color="auto" w:sz="4" w:space="0"/>
              <w:right w:val="single" w:color="auto" w:sz="4" w:space="0"/>
            </w:tcBorders>
            <w:vAlign w:val="center"/>
          </w:tcPr>
          <w:p>
            <w:pPr>
              <w:widowControl/>
              <w:jc w:val="center"/>
              <w:rPr>
                <w:rFonts w:hint="eastAsia"/>
                <w:lang w:val="en-US" w:eastAsia="zh-CN"/>
              </w:rPr>
            </w:pPr>
            <w:r>
              <w:rPr>
                <w:rFonts w:hint="eastAsia"/>
                <w:lang w:val="en-US" w:eastAsia="zh-CN"/>
              </w:rPr>
              <w:t>10</w:t>
            </w:r>
          </w:p>
          <w:p>
            <w:pPr>
              <w:pStyle w:val="2"/>
              <w:rPr>
                <w:rFonts w:hint="default"/>
                <w:lang w:val="en-US" w:eastAsia="zh-CN"/>
              </w:rPr>
            </w:pP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ascii="方正仿宋简体" w:hAnsi="宋体" w:cs="宋体"/>
                <w:color w:val="000000"/>
                <w:sz w:val="18"/>
                <w:szCs w:val="18"/>
              </w:rPr>
            </w:pPr>
          </w:p>
        </w:tc>
        <w:tc>
          <w:tcPr>
            <w:tcW w:w="1230"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95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604"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701"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社会效益</w:t>
            </w:r>
          </w:p>
          <w:p>
            <w:pPr>
              <w:widowControl/>
              <w:jc w:val="center"/>
              <w:rPr>
                <w:rFonts w:ascii="方正仿宋简体" w:hAnsi="宋体" w:cs="宋体"/>
                <w:sz w:val="18"/>
                <w:szCs w:val="18"/>
              </w:rPr>
            </w:pPr>
            <w:r>
              <w:rPr>
                <w:rFonts w:hint="eastAsia" w:ascii="方正仿宋简体" w:hAnsi="宋体" w:cs="宋体"/>
                <w:sz w:val="18"/>
                <w:szCs w:val="18"/>
              </w:rPr>
              <w:t>指标</w:t>
            </w: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hint="default"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保障政府应急需求</w:t>
            </w:r>
          </w:p>
        </w:tc>
        <w:tc>
          <w:tcPr>
            <w:tcW w:w="1230" w:type="dxa"/>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效果显著</w:t>
            </w:r>
          </w:p>
        </w:tc>
        <w:tc>
          <w:tcPr>
            <w:tcW w:w="956"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效果显著</w:t>
            </w:r>
          </w:p>
        </w:tc>
        <w:tc>
          <w:tcPr>
            <w:tcW w:w="604" w:type="dxa"/>
            <w:gridSpan w:val="2"/>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5</w:t>
            </w:r>
          </w:p>
        </w:tc>
        <w:tc>
          <w:tcPr>
            <w:tcW w:w="701" w:type="dxa"/>
            <w:gridSpan w:val="2"/>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5</w:t>
            </w: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hint="default"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增强应对突发环境事件能力</w:t>
            </w:r>
          </w:p>
        </w:tc>
        <w:tc>
          <w:tcPr>
            <w:tcW w:w="1230" w:type="dxa"/>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作用明显</w:t>
            </w:r>
          </w:p>
        </w:tc>
        <w:tc>
          <w:tcPr>
            <w:tcW w:w="956"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作用明显</w:t>
            </w:r>
          </w:p>
        </w:tc>
        <w:tc>
          <w:tcPr>
            <w:tcW w:w="604" w:type="dxa"/>
            <w:gridSpan w:val="2"/>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5</w:t>
            </w:r>
          </w:p>
        </w:tc>
        <w:tc>
          <w:tcPr>
            <w:tcW w:w="701" w:type="dxa"/>
            <w:gridSpan w:val="2"/>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5</w:t>
            </w: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生态效益</w:t>
            </w:r>
          </w:p>
          <w:p>
            <w:pPr>
              <w:widowControl/>
              <w:jc w:val="center"/>
              <w:rPr>
                <w:rFonts w:ascii="方正仿宋简体" w:hAnsi="宋体" w:cs="宋体"/>
                <w:sz w:val="18"/>
                <w:szCs w:val="18"/>
              </w:rPr>
            </w:pPr>
            <w:r>
              <w:rPr>
                <w:rFonts w:hint="eastAsia" w:ascii="方正仿宋简体" w:hAnsi="宋体" w:cs="宋体"/>
                <w:sz w:val="18"/>
                <w:szCs w:val="18"/>
              </w:rPr>
              <w:t>指标</w:t>
            </w: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hint="default"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降低环境损坏作用</w:t>
            </w:r>
          </w:p>
        </w:tc>
        <w:tc>
          <w:tcPr>
            <w:tcW w:w="1230" w:type="dxa"/>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作用明显</w:t>
            </w:r>
          </w:p>
        </w:tc>
        <w:tc>
          <w:tcPr>
            <w:tcW w:w="956"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作用明显</w:t>
            </w:r>
          </w:p>
        </w:tc>
        <w:tc>
          <w:tcPr>
            <w:tcW w:w="604" w:type="dxa"/>
            <w:gridSpan w:val="2"/>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5</w:t>
            </w:r>
          </w:p>
        </w:tc>
        <w:tc>
          <w:tcPr>
            <w:tcW w:w="701" w:type="dxa"/>
            <w:gridSpan w:val="2"/>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5</w:t>
            </w: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ascii="方正仿宋简体" w:hAnsi="宋体" w:cs="宋体"/>
                <w:color w:val="000000"/>
                <w:sz w:val="18"/>
                <w:szCs w:val="18"/>
              </w:rPr>
            </w:pPr>
          </w:p>
        </w:tc>
        <w:tc>
          <w:tcPr>
            <w:tcW w:w="1230"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95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604"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701"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可持续影响指标</w:t>
            </w: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hint="default"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发挥应急救援作用</w:t>
            </w:r>
          </w:p>
        </w:tc>
        <w:tc>
          <w:tcPr>
            <w:tcW w:w="1230" w:type="dxa"/>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作用明显</w:t>
            </w:r>
          </w:p>
        </w:tc>
        <w:tc>
          <w:tcPr>
            <w:tcW w:w="956" w:type="dxa"/>
            <w:gridSpan w:val="2"/>
            <w:tcBorders>
              <w:top w:val="nil"/>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作用明显</w:t>
            </w:r>
          </w:p>
        </w:tc>
        <w:tc>
          <w:tcPr>
            <w:tcW w:w="604" w:type="dxa"/>
            <w:gridSpan w:val="2"/>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5</w:t>
            </w:r>
          </w:p>
        </w:tc>
        <w:tc>
          <w:tcPr>
            <w:tcW w:w="701" w:type="dxa"/>
            <w:gridSpan w:val="2"/>
            <w:tcBorders>
              <w:top w:val="nil"/>
              <w:left w:val="nil"/>
              <w:bottom w:val="single" w:color="auto" w:sz="4" w:space="0"/>
              <w:right w:val="single" w:color="auto" w:sz="4" w:space="0"/>
            </w:tcBorders>
            <w:vAlign w:val="center"/>
          </w:tcPr>
          <w:p>
            <w:pPr>
              <w:widowControl/>
              <w:jc w:val="center"/>
              <w:rPr>
                <w:rFonts w:hint="eastAsia" w:ascii="方正仿宋简体" w:hAnsi="宋体" w:eastAsia="宋体" w:cs="宋体"/>
                <w:sz w:val="18"/>
                <w:szCs w:val="18"/>
                <w:lang w:val="en-US" w:eastAsia="zh-CN"/>
              </w:rPr>
            </w:pPr>
            <w:r>
              <w:rPr>
                <w:rFonts w:hint="eastAsia" w:ascii="方正仿宋简体" w:hAnsi="宋体" w:cs="宋体"/>
                <w:sz w:val="18"/>
                <w:szCs w:val="18"/>
                <w:lang w:val="en-US" w:eastAsia="zh-CN"/>
              </w:rPr>
              <w:t>5</w:t>
            </w: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ascii="方正仿宋简体" w:hAnsi="宋体" w:cs="宋体"/>
                <w:color w:val="000000"/>
                <w:sz w:val="18"/>
                <w:szCs w:val="18"/>
              </w:rPr>
            </w:pPr>
          </w:p>
        </w:tc>
        <w:tc>
          <w:tcPr>
            <w:tcW w:w="1230" w:type="dxa"/>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956"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604"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701" w:type="dxa"/>
            <w:gridSpan w:val="2"/>
            <w:tcBorders>
              <w:top w:val="nil"/>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满意度</w:t>
            </w:r>
          </w:p>
          <w:p>
            <w:pPr>
              <w:widowControl/>
              <w:jc w:val="center"/>
              <w:rPr>
                <w:rFonts w:ascii="方正仿宋简体" w:hAnsi="宋体" w:cs="宋体"/>
                <w:sz w:val="18"/>
                <w:szCs w:val="18"/>
              </w:rPr>
            </w:pPr>
            <w:r>
              <w:rPr>
                <w:rFonts w:hint="eastAsia" w:ascii="方正仿宋简体" w:hAnsi="宋体" w:cs="宋体"/>
                <w:sz w:val="18"/>
                <w:szCs w:val="18"/>
              </w:rPr>
              <w:t>指标</w:t>
            </w:r>
          </w:p>
          <w:p>
            <w:pPr>
              <w:widowControl/>
              <w:jc w:val="center"/>
              <w:rPr>
                <w:rFonts w:ascii="方正仿宋简体" w:hAnsi="宋体" w:cs="宋体"/>
                <w:sz w:val="18"/>
                <w:szCs w:val="18"/>
              </w:rPr>
            </w:pPr>
            <w:r>
              <w:rPr>
                <w:rFonts w:hint="eastAsia" w:ascii="方正仿宋简体" w:hAnsi="宋体" w:cs="宋体"/>
                <w:sz w:val="18"/>
                <w:szCs w:val="18"/>
              </w:rPr>
              <w:t>（10分）</w:t>
            </w:r>
          </w:p>
        </w:tc>
        <w:tc>
          <w:tcPr>
            <w:tcW w:w="1260"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宋体"/>
                <w:sz w:val="18"/>
                <w:szCs w:val="18"/>
              </w:rPr>
              <w:t>服务对象满意度指标</w:t>
            </w: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hint="default"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群众满意度</w:t>
            </w:r>
          </w:p>
        </w:tc>
        <w:tc>
          <w:tcPr>
            <w:tcW w:w="1230" w:type="dxa"/>
            <w:tcBorders>
              <w:top w:val="single" w:color="auto" w:sz="4" w:space="0"/>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98</w:t>
            </w:r>
          </w:p>
        </w:tc>
        <w:tc>
          <w:tcPr>
            <w:tcW w:w="956"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98</w:t>
            </w:r>
          </w:p>
        </w:tc>
        <w:tc>
          <w:tcPr>
            <w:tcW w:w="604"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w:t>
            </w:r>
          </w:p>
        </w:tc>
        <w:tc>
          <w:tcPr>
            <w:tcW w:w="701"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方正仿宋简体" w:hAnsi="宋体" w:eastAsia="宋体" w:cs="宋体"/>
                <w:sz w:val="18"/>
                <w:szCs w:val="18"/>
                <w:lang w:val="en-US" w:eastAsia="zh-CN"/>
              </w:rPr>
            </w:pPr>
            <w:r>
              <w:rPr>
                <w:rFonts w:hint="eastAsia" w:ascii="方正仿宋简体" w:hAnsi="宋体" w:cs="宋体"/>
                <w:sz w:val="18"/>
                <w:szCs w:val="18"/>
                <w:lang w:val="en-US" w:eastAsia="zh-CN"/>
              </w:rPr>
              <w:t>10</w:t>
            </w: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693" w:type="dxa"/>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12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方正仿宋简体" w:hAnsi="宋体" w:cs="宋体"/>
                <w:sz w:val="18"/>
                <w:szCs w:val="18"/>
              </w:rPr>
            </w:pPr>
          </w:p>
        </w:tc>
        <w:tc>
          <w:tcPr>
            <w:tcW w:w="2415" w:type="dxa"/>
            <w:gridSpan w:val="4"/>
            <w:tcBorders>
              <w:top w:val="single" w:color="auto" w:sz="4" w:space="0"/>
              <w:left w:val="nil"/>
              <w:bottom w:val="single" w:color="auto" w:sz="4" w:space="0"/>
              <w:right w:val="single" w:color="auto" w:sz="4" w:space="0"/>
            </w:tcBorders>
            <w:vAlign w:val="center"/>
          </w:tcPr>
          <w:p>
            <w:pPr>
              <w:widowControl/>
              <w:jc w:val="left"/>
              <w:rPr>
                <w:rFonts w:ascii="方正仿宋简体" w:hAnsi="宋体" w:cs="宋体"/>
                <w:color w:val="000000"/>
                <w:sz w:val="18"/>
                <w:szCs w:val="18"/>
              </w:rPr>
            </w:pPr>
          </w:p>
        </w:tc>
        <w:tc>
          <w:tcPr>
            <w:tcW w:w="1230"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956" w:type="dxa"/>
            <w:gridSpan w:val="2"/>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604" w:type="dxa"/>
            <w:gridSpan w:val="2"/>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701" w:type="dxa"/>
            <w:gridSpan w:val="2"/>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300" w:hRule="exact"/>
          <w:jc w:val="center"/>
        </w:trPr>
        <w:tc>
          <w:tcPr>
            <w:tcW w:w="7141"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简体" w:hAnsi="宋体" w:cs="宋体"/>
                <w:color w:val="000000"/>
                <w:sz w:val="18"/>
                <w:szCs w:val="18"/>
              </w:rPr>
            </w:pPr>
            <w:r>
              <w:rPr>
                <w:rFonts w:hint="eastAsia" w:ascii="方正仿宋简体" w:hAnsi="宋体" w:cs="宋体"/>
                <w:color w:val="000000"/>
                <w:sz w:val="18"/>
                <w:szCs w:val="18"/>
              </w:rPr>
              <w:t>总分</w:t>
            </w:r>
          </w:p>
        </w:tc>
        <w:tc>
          <w:tcPr>
            <w:tcW w:w="604"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1000</w:t>
            </w:r>
          </w:p>
        </w:tc>
        <w:tc>
          <w:tcPr>
            <w:tcW w:w="701"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100</w:t>
            </w:r>
          </w:p>
        </w:tc>
        <w:tc>
          <w:tcPr>
            <w:tcW w:w="629" w:type="dxa"/>
            <w:tcBorders>
              <w:top w:val="single" w:color="auto" w:sz="4" w:space="0"/>
              <w:left w:val="nil"/>
              <w:bottom w:val="single" w:color="auto" w:sz="4" w:space="0"/>
              <w:right w:val="single" w:color="auto" w:sz="4" w:space="0"/>
            </w:tcBorders>
            <w:vAlign w:val="center"/>
          </w:tcPr>
          <w:p>
            <w:pPr>
              <w:widowControl/>
              <w:jc w:val="center"/>
              <w:rPr>
                <w:rFonts w:ascii="方正仿宋简体" w:hAnsi="宋体" w:cs="宋体"/>
                <w:sz w:val="18"/>
                <w:szCs w:val="18"/>
              </w:rPr>
            </w:pPr>
          </w:p>
        </w:tc>
      </w:tr>
      <w:tr>
        <w:tblPrEx>
          <w:tblCellMar>
            <w:top w:w="0" w:type="dxa"/>
            <w:left w:w="108" w:type="dxa"/>
            <w:bottom w:w="0" w:type="dxa"/>
            <w:right w:w="108" w:type="dxa"/>
          </w:tblCellMar>
        </w:tblPrEx>
        <w:trPr>
          <w:trHeight w:val="947" w:hRule="exact"/>
          <w:jc w:val="center"/>
        </w:trPr>
        <w:tc>
          <w:tcPr>
            <w:tcW w:w="163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简体" w:hAnsi="宋体" w:cs="宋体"/>
                <w:color w:val="000000"/>
                <w:sz w:val="18"/>
                <w:szCs w:val="18"/>
              </w:rPr>
            </w:pPr>
            <w:r>
              <w:rPr>
                <w:rFonts w:hint="eastAsia" w:ascii="方正仿宋简体" w:hAnsi="宋体" w:cs="宋体"/>
                <w:color w:val="000000"/>
                <w:sz w:val="18"/>
                <w:szCs w:val="18"/>
              </w:rPr>
              <w:t>自评结论</w:t>
            </w:r>
          </w:p>
        </w:tc>
        <w:tc>
          <w:tcPr>
            <w:tcW w:w="1631"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简体" w:hAnsi="宋体" w:eastAsia="宋体" w:cs="宋体"/>
                <w:color w:val="000000"/>
                <w:sz w:val="18"/>
                <w:szCs w:val="18"/>
                <w:lang w:val="en-US" w:eastAsia="zh-CN"/>
              </w:rPr>
            </w:pPr>
            <w:r>
              <w:rPr>
                <w:rFonts w:hint="eastAsia" w:ascii="方正仿宋简体" w:hAnsi="宋体" w:cs="宋体"/>
                <w:color w:val="000000"/>
                <w:sz w:val="18"/>
                <w:szCs w:val="18"/>
                <w:lang w:val="en-US" w:eastAsia="zh-CN"/>
              </w:rPr>
              <w:t>优</w:t>
            </w:r>
          </w:p>
        </w:tc>
        <w:tc>
          <w:tcPr>
            <w:tcW w:w="5813"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方正仿宋简体" w:hAnsi="宋体" w:cs="宋体"/>
                <w:sz w:val="18"/>
                <w:szCs w:val="18"/>
              </w:rPr>
            </w:pPr>
            <w:r>
              <w:rPr>
                <w:rFonts w:hint="eastAsia" w:ascii="方正仿宋简体" w:hAnsi="宋体" w:cs="仿宋_GB2312"/>
                <w:color w:val="000000"/>
                <w:sz w:val="18"/>
                <w:szCs w:val="18"/>
              </w:rPr>
              <w:t>总分高于90分（含）的结论为“优”，90～80分（含）为“良”，80～60分（含）为“中”，低于60分为“差”。</w:t>
            </w:r>
          </w:p>
        </w:tc>
      </w:tr>
    </w:tbl>
    <w:p>
      <w:pPr>
        <w:spacing w:line="578"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应急物资采购</w:t>
      </w:r>
      <w:r>
        <w:rPr>
          <w:rFonts w:hint="eastAsia" w:ascii="仿宋_GB2312" w:hAnsi="Times New Roman" w:eastAsia="仿宋_GB2312" w:cs="Times New Roman"/>
          <w:sz w:val="32"/>
          <w:szCs w:val="32"/>
        </w:rPr>
        <w:t>项目绩效自评报告：根据年初设定的绩效目标，项目绩效自评得分为</w:t>
      </w:r>
      <w:r>
        <w:rPr>
          <w:rFonts w:hint="eastAsia" w:ascii="仿宋_GB2312" w:hAnsi="Times New Roman" w:eastAsia="仿宋_GB2312" w:cs="Times New Roman"/>
          <w:sz w:val="32"/>
          <w:szCs w:val="32"/>
          <w:lang w:val="en-US" w:eastAsia="zh-CN"/>
        </w:rPr>
        <w:t>100</w:t>
      </w:r>
      <w:r>
        <w:rPr>
          <w:rFonts w:hint="eastAsia" w:ascii="仿宋_GB2312" w:hAnsi="Times New Roman" w:eastAsia="仿宋_GB2312" w:cs="Times New Roman"/>
          <w:sz w:val="32"/>
          <w:szCs w:val="32"/>
        </w:rPr>
        <w:t>分。全年预算数为</w:t>
      </w:r>
      <w:r>
        <w:rPr>
          <w:rFonts w:hint="eastAsia" w:ascii="仿宋_GB2312" w:hAnsi="Times New Roman" w:eastAsia="仿宋_GB2312" w:cs="Times New Roman"/>
          <w:sz w:val="32"/>
          <w:szCs w:val="32"/>
          <w:lang w:val="en-US" w:eastAsia="zh-CN"/>
        </w:rPr>
        <w:t>28.37</w:t>
      </w:r>
      <w:r>
        <w:rPr>
          <w:rFonts w:hint="eastAsia" w:ascii="仿宋_GB2312" w:hAnsi="Times New Roman" w:eastAsia="仿宋_GB2312" w:cs="Times New Roman"/>
          <w:sz w:val="32"/>
          <w:szCs w:val="32"/>
        </w:rPr>
        <w:t>万元，执行数为</w:t>
      </w:r>
      <w:r>
        <w:rPr>
          <w:rFonts w:hint="eastAsia" w:ascii="仿宋_GB2312" w:hAnsi="Times New Roman" w:eastAsia="仿宋_GB2312" w:cs="Times New Roman"/>
          <w:sz w:val="32"/>
          <w:szCs w:val="32"/>
          <w:lang w:val="en-US" w:eastAsia="zh-CN"/>
        </w:rPr>
        <w:t>28.37</w:t>
      </w:r>
      <w:r>
        <w:rPr>
          <w:rFonts w:hint="eastAsia" w:ascii="仿宋_GB2312" w:hAnsi="Times New Roman" w:eastAsia="仿宋_GB2312" w:cs="Times New Roman"/>
          <w:sz w:val="32"/>
          <w:szCs w:val="32"/>
        </w:rPr>
        <w:t>万元，完成预算的</w:t>
      </w:r>
      <w:r>
        <w:rPr>
          <w:rFonts w:hint="eastAsia" w:ascii="仿宋_GB2312" w:hAnsi="Times New Roman" w:eastAsia="仿宋_GB2312" w:cs="Times New Roman"/>
          <w:sz w:val="32"/>
          <w:szCs w:val="32"/>
          <w:lang w:val="en-US" w:eastAsia="zh-CN"/>
        </w:rPr>
        <w:t>100</w:t>
      </w:r>
      <w:r>
        <w:rPr>
          <w:rFonts w:hint="eastAsia" w:ascii="仿宋_GB2312" w:hAnsi="Times New Roman" w:eastAsia="仿宋_GB2312" w:cs="Times New Roman"/>
          <w:sz w:val="32"/>
          <w:szCs w:val="32"/>
        </w:rPr>
        <w:t>%。项目绩效目标完成情况：一是……；二是……。发现的主要问题及原因：一是……；二是……。下一步改进措施：一是……；二是……。</w:t>
      </w:r>
    </w:p>
    <w:p>
      <w:pPr>
        <w:spacing w:line="578" w:lineRule="exact"/>
        <w:ind w:firstLine="640" w:firstLineChars="200"/>
        <w:rPr>
          <w:rFonts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部门评价项目数量在3个以内的，至少将1个部门评价报告向社会公开；部门评价项目数量大于3个的，至少将2个部门评价报告向社会公开。</w:t>
      </w:r>
    </w:p>
    <w:p>
      <w:pPr>
        <w:spacing w:line="578" w:lineRule="exact"/>
        <w:ind w:firstLine="640" w:firstLineChars="200"/>
        <w:rPr>
          <w:rFonts w:ascii="楷体" w:hAnsi="楷体" w:eastAsia="楷体" w:cs="楷体"/>
          <w:bCs/>
          <w:sz w:val="32"/>
          <w:szCs w:val="32"/>
        </w:rPr>
      </w:pPr>
      <w:r>
        <w:rPr>
          <w:rFonts w:hint="eastAsia" w:ascii="楷体" w:hAnsi="楷体" w:eastAsia="楷体" w:cs="楷体"/>
          <w:bCs/>
          <w:sz w:val="32"/>
          <w:szCs w:val="32"/>
        </w:rPr>
        <w:t>（四）财政评价结果（如有）</w:t>
      </w:r>
    </w:p>
    <w:p>
      <w:pPr>
        <w:spacing w:line="578" w:lineRule="exact"/>
        <w:ind w:firstLine="640" w:firstLineChars="200"/>
        <w:rPr>
          <w:rFonts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pPr>
        <w:spacing w:line="578" w:lineRule="exact"/>
        <w:ind w:firstLine="640" w:firstLineChars="200"/>
        <w:rPr>
          <w:rFonts w:ascii="黑体" w:hAnsi="黑体" w:eastAsia="黑体" w:cs="黑体"/>
          <w:bCs/>
          <w:sz w:val="32"/>
          <w:szCs w:val="32"/>
        </w:rPr>
      </w:pPr>
      <w:r>
        <w:rPr>
          <w:rFonts w:hint="eastAsia" w:ascii="黑体" w:hAnsi="黑体" w:eastAsia="黑体" w:cs="黑体"/>
          <w:bCs/>
          <w:sz w:val="32"/>
          <w:szCs w:val="32"/>
        </w:rPr>
        <w:t>十一、其他重要事项情况说明</w:t>
      </w:r>
    </w:p>
    <w:p>
      <w:pPr>
        <w:spacing w:line="578" w:lineRule="exact"/>
        <w:ind w:firstLine="640" w:firstLineChars="200"/>
        <w:rPr>
          <w:rFonts w:ascii="楷体" w:hAnsi="楷体" w:eastAsia="楷体" w:cs="楷体"/>
          <w:bCs/>
          <w:sz w:val="32"/>
          <w:szCs w:val="32"/>
        </w:rPr>
      </w:pPr>
      <w:bookmarkStart w:id="96" w:name="_Toc32639_WPSOffice_Level2"/>
      <w:bookmarkStart w:id="97" w:name="_Toc5978_WPSOffice_Level2"/>
      <w:bookmarkStart w:id="98" w:name="_Toc23598_WPSOffice_Level2"/>
      <w:bookmarkStart w:id="99" w:name="_Toc15565_WPSOffice_Level2"/>
      <w:bookmarkStart w:id="100" w:name="_Toc15262_WPSOffice_Level2"/>
      <w:bookmarkStart w:id="101" w:name="_Toc18325_WPSOffice_Level2"/>
      <w:r>
        <w:rPr>
          <w:rFonts w:hint="eastAsia" w:ascii="楷体" w:hAnsi="楷体" w:eastAsia="楷体" w:cs="楷体"/>
          <w:bCs/>
          <w:sz w:val="32"/>
          <w:szCs w:val="32"/>
        </w:rPr>
        <w:t>（一）机关运行经费支出情况</w:t>
      </w:r>
      <w:bookmarkEnd w:id="96"/>
      <w:bookmarkEnd w:id="97"/>
      <w:bookmarkEnd w:id="98"/>
      <w:bookmarkEnd w:id="99"/>
      <w:bookmarkEnd w:id="100"/>
      <w:bookmarkEnd w:id="101"/>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年度申扎县环保局机关部门（单位）机关运行经费9.18万元（为部门决算中行政单位和参公事业单位财政拨款基本支出中公用经费支出之和，事业</w:t>
      </w:r>
      <w:r>
        <w:rPr>
          <w:rFonts w:hint="eastAsia" w:ascii="仿宋_GB2312" w:hAnsi="ˎ̥" w:eastAsia="仿宋_GB2312" w:cs="Times New Roman"/>
          <w:sz w:val="32"/>
          <w:szCs w:val="32"/>
        </w:rPr>
        <w:t>单位没有机关运行经费支出），比年初预算减少1.75万元，完成预算的84%</w:t>
      </w:r>
      <w:r>
        <w:rPr>
          <w:rFonts w:hint="eastAsia" w:ascii="仿宋_GB2312" w:hAnsi="ˎ̥" w:eastAsia="仿宋_GB2312"/>
          <w:sz w:val="32"/>
          <w:szCs w:val="32"/>
        </w:rPr>
        <w:t>；与2023年度相比，机关运行经费增加3.79万元，增长70.32%。主要原因是：办公设施设备购置经费增加、资产运行维护支出增加、信息系统运行维护支出增加等。</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ascii="仿宋_GB2312" w:hAnsi="ˎ̥" w:eastAsia="仿宋_GB2312"/>
          <w:sz w:val="32"/>
          <w:szCs w:val="32"/>
        </w:rPr>
        <w:t>2024</w:t>
      </w:r>
      <w:r>
        <w:rPr>
          <w:rFonts w:hint="eastAsia" w:ascii="仿宋_GB2312" w:hAnsi="ˎ̥" w:eastAsia="仿宋_GB2312"/>
          <w:sz w:val="32"/>
          <w:szCs w:val="32"/>
        </w:rPr>
        <w:t>年度部门决算报表F03表《机构运行信息表》“机关运行经费”栏。）</w:t>
      </w:r>
    </w:p>
    <w:p>
      <w:pPr>
        <w:spacing w:line="578" w:lineRule="exact"/>
        <w:ind w:firstLine="640" w:firstLineChars="200"/>
        <w:rPr>
          <w:rFonts w:ascii="楷体" w:hAnsi="楷体" w:eastAsia="楷体" w:cs="楷体"/>
          <w:bCs/>
          <w:sz w:val="32"/>
          <w:szCs w:val="32"/>
        </w:rPr>
      </w:pPr>
      <w:bookmarkStart w:id="102" w:name="_Toc3131_WPSOffice_Level2"/>
      <w:bookmarkStart w:id="103" w:name="_Toc32689_WPSOffice_Level2"/>
      <w:bookmarkStart w:id="104" w:name="_Toc30383_WPSOffice_Level2"/>
      <w:bookmarkStart w:id="105" w:name="_Toc25333_WPSOffice_Level2"/>
      <w:bookmarkStart w:id="106" w:name="_Toc13084_WPSOffice_Level2"/>
      <w:bookmarkStart w:id="107" w:name="_Toc23966_WPSOffice_Level2"/>
      <w:r>
        <w:rPr>
          <w:rFonts w:hint="eastAsia" w:ascii="楷体" w:hAnsi="楷体" w:eastAsia="楷体" w:cs="楷体"/>
          <w:bCs/>
          <w:sz w:val="32"/>
          <w:szCs w:val="32"/>
        </w:rPr>
        <w:t>（二）政府采购支出情况</w:t>
      </w:r>
      <w:bookmarkEnd w:id="102"/>
      <w:bookmarkEnd w:id="103"/>
      <w:bookmarkEnd w:id="104"/>
      <w:bookmarkEnd w:id="105"/>
      <w:bookmarkEnd w:id="106"/>
      <w:bookmarkEnd w:id="107"/>
    </w:p>
    <w:p>
      <w:pPr>
        <w:spacing w:line="578" w:lineRule="exact"/>
        <w:ind w:firstLine="640" w:firstLineChars="200"/>
        <w:jc w:val="left"/>
        <w:rPr>
          <w:rFonts w:ascii="仿宋_GB2312" w:hAnsi="ˎ̥" w:eastAsia="仿宋_GB2312" w:cs="Times New Roman"/>
          <w:sz w:val="32"/>
          <w:szCs w:val="32"/>
        </w:rPr>
      </w:pPr>
      <w:r>
        <w:rPr>
          <w:rFonts w:ascii="仿宋_GB2312" w:hAnsi="ˎ̥" w:eastAsia="仿宋_GB2312"/>
          <w:sz w:val="32"/>
          <w:szCs w:val="32"/>
        </w:rPr>
        <w:t>2024</w:t>
      </w:r>
      <w:r>
        <w:rPr>
          <w:rFonts w:hint="eastAsia" w:ascii="仿宋_GB2312" w:hAnsi="ˎ̥" w:eastAsia="仿宋_GB2312"/>
          <w:sz w:val="32"/>
          <w:szCs w:val="32"/>
        </w:rPr>
        <w:t>年度</w:t>
      </w:r>
      <w:r>
        <w:rPr>
          <w:rFonts w:hint="eastAsia" w:ascii="仿宋_GB2312" w:hAnsi="ˎ̥" w:eastAsia="仿宋_GB2312" w:cs="Times New Roman"/>
          <w:sz w:val="32"/>
          <w:szCs w:val="32"/>
        </w:rPr>
        <w:t>生态环境分局部门（单位）政府采购支出总额0万元，其中：政府采购货物支出0万元、政府采购工程支出0万元、政府采购服务支出0万元。授予中小企业合同金额0万元，占政府采购支出总额的0%，其中：授予小微企业合同金额0万元，占授予中小企业合同金额的0%。</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上述政府采购支出相关数据取自</w:t>
      </w:r>
      <w:r>
        <w:rPr>
          <w:rFonts w:ascii="仿宋_GB2312" w:hAnsi="ˎ̥" w:eastAsia="仿宋_GB2312"/>
          <w:sz w:val="32"/>
          <w:szCs w:val="32"/>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spacing w:line="578" w:lineRule="exact"/>
        <w:ind w:firstLine="640" w:firstLineChars="200"/>
        <w:rPr>
          <w:rFonts w:ascii="楷体" w:hAnsi="楷体" w:eastAsia="楷体" w:cs="楷体"/>
          <w:bCs/>
          <w:sz w:val="32"/>
          <w:szCs w:val="32"/>
        </w:rPr>
      </w:pPr>
      <w:bookmarkStart w:id="108" w:name="_Toc19989_WPSOffice_Level2"/>
      <w:bookmarkStart w:id="109" w:name="_Toc6016_WPSOffice_Level2"/>
      <w:bookmarkStart w:id="110" w:name="_Toc29584_WPSOffice_Level2"/>
      <w:bookmarkStart w:id="111" w:name="_Toc10902_WPSOffice_Level2"/>
      <w:bookmarkStart w:id="112" w:name="_Toc15129_WPSOffice_Level2"/>
      <w:bookmarkStart w:id="113" w:name="_Toc527_WPSOffice_Level2"/>
      <w:r>
        <w:rPr>
          <w:rFonts w:hint="eastAsia" w:ascii="楷体" w:hAnsi="楷体" w:eastAsia="楷体" w:cs="楷体"/>
          <w:bCs/>
          <w:sz w:val="32"/>
          <w:szCs w:val="32"/>
        </w:rPr>
        <w:t>（三）国有资产占用情况</w:t>
      </w:r>
      <w:bookmarkEnd w:id="108"/>
      <w:bookmarkEnd w:id="109"/>
      <w:bookmarkEnd w:id="110"/>
      <w:bookmarkEnd w:id="111"/>
      <w:bookmarkEnd w:id="112"/>
      <w:bookmarkEnd w:id="113"/>
    </w:p>
    <w:p>
      <w:pPr>
        <w:spacing w:line="578" w:lineRule="exact"/>
        <w:ind w:firstLine="640" w:firstLineChars="200"/>
        <w:rPr>
          <w:rFonts w:hint="eastAsia" w:ascii="仿宋_GB2312" w:hAnsi="ˎ̥" w:eastAsia="仿宋_GB2312" w:cs="Times New Roman"/>
          <w:bCs/>
          <w:sz w:val="32"/>
          <w:szCs w:val="32"/>
        </w:rPr>
      </w:pPr>
      <w:r>
        <w:rPr>
          <w:rFonts w:hint="eastAsia" w:ascii="仿宋_GB2312" w:hAnsi="ˎ̥" w:eastAsia="仿宋_GB2312"/>
          <w:bCs/>
          <w:sz w:val="32"/>
          <w:szCs w:val="32"/>
        </w:rPr>
        <w:t>截至</w:t>
      </w:r>
      <w:r>
        <w:rPr>
          <w:rFonts w:ascii="仿宋_GB2312" w:hAnsi="ˎ̥" w:eastAsia="仿宋_GB2312"/>
          <w:bCs/>
          <w:sz w:val="32"/>
          <w:szCs w:val="32"/>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rPr>
        <w:t>1</w:t>
      </w:r>
      <w:r>
        <w:rPr>
          <w:rFonts w:hint="eastAsia" w:ascii="仿宋_GB2312" w:hAnsi="ˎ̥" w:eastAsia="仿宋_GB2312" w:cs="Times New Roman"/>
          <w:bCs/>
          <w:sz w:val="32"/>
          <w:szCs w:val="32"/>
        </w:rPr>
        <w:t>26平方米。</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bCs/>
          <w:sz w:val="32"/>
          <w:szCs w:val="32"/>
        </w:rPr>
        <w:t>本部门共有车辆0辆，其中，副部（省）级及以上领导用车0辆、主要负责人用车0辆、机要通信用车0辆、应急保障用车</w:t>
      </w:r>
      <w:r>
        <w:rPr>
          <w:rFonts w:hint="eastAsia" w:ascii="仿宋_GB2312" w:hAnsi="ˎ̥" w:eastAsia="仿宋_GB2312" w:cs="Times New Roman"/>
          <w:sz w:val="32"/>
          <w:szCs w:val="32"/>
        </w:rPr>
        <w:t>0辆、执法执勤用车0辆、特种专业技术用车0辆、离退休干部服务用车0辆、其他用车0辆，其他用车主要是……。</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单价100万元（含）以上设备（不含车辆）0台（套）。</w:t>
      </w:r>
    </w:p>
    <w:p>
      <w:pPr>
        <w:spacing w:line="578" w:lineRule="exact"/>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（注：上述国有资产占用情况相关数据取自2024年度部门决算F02表《预算支出相关信息表》、F03表《机构运行信息表》。）</w:t>
      </w:r>
    </w:p>
    <w:p>
      <w:pPr>
        <w:spacing w:line="578" w:lineRule="exact"/>
        <w:ind w:firstLine="640" w:firstLineChars="200"/>
        <w:rPr>
          <w:rFonts w:hint="eastAsia" w:ascii="仿宋_GB2312" w:hAnsi="ˎ̥" w:eastAsia="仿宋_GB2312" w:cs="Times New Roman"/>
          <w:sz w:val="32"/>
          <w:szCs w:val="32"/>
        </w:rPr>
      </w:pPr>
      <w:bookmarkStart w:id="114" w:name="_Toc17580_WPSOffice_Level1"/>
      <w:bookmarkStart w:id="115" w:name="_Toc15425_WPSOffice_Level1"/>
      <w:bookmarkStart w:id="116" w:name="_Toc11039_WPSOffice_Level1"/>
      <w:bookmarkStart w:id="117" w:name="_Toc8808_WPSOffice_Level1"/>
      <w:bookmarkStart w:id="118" w:name="_Toc4398_WPSOffice_Level1"/>
      <w:bookmarkStart w:id="119" w:name="_Toc8874_WPSOffice_Level1"/>
    </w:p>
    <w:p>
      <w:pPr>
        <w:spacing w:line="578" w:lineRule="exact"/>
        <w:jc w:val="center"/>
        <w:rPr>
          <w:rFonts w:ascii="黑体" w:hAnsi="ˎ̥" w:eastAsia="黑体"/>
          <w:sz w:val="32"/>
          <w:szCs w:val="32"/>
        </w:rPr>
      </w:pPr>
      <w:r>
        <w:rPr>
          <w:rFonts w:hint="eastAsia" w:ascii="黑体" w:hAnsi="ˎ̥" w:eastAsia="黑体"/>
          <w:sz w:val="32"/>
          <w:szCs w:val="32"/>
        </w:rPr>
        <w:t>第四部分  名词解释</w:t>
      </w:r>
      <w:bookmarkEnd w:id="114"/>
      <w:bookmarkEnd w:id="115"/>
      <w:bookmarkEnd w:id="116"/>
      <w:bookmarkEnd w:id="117"/>
      <w:bookmarkEnd w:id="118"/>
      <w:bookmarkEnd w:id="119"/>
    </w:p>
    <w:p>
      <w:pPr>
        <w:spacing w:line="578" w:lineRule="exact"/>
        <w:jc w:val="center"/>
        <w:rPr>
          <w:rFonts w:ascii="黑体" w:hAnsi="ˎ̥" w:eastAsia="黑体"/>
          <w:sz w:val="32"/>
          <w:szCs w:val="32"/>
        </w:rPr>
      </w:pPr>
    </w:p>
    <w:p>
      <w:pPr>
        <w:numPr>
          <w:ilvl w:val="0"/>
          <w:numId w:val="6"/>
        </w:num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spacing w:line="578" w:lineRule="exact"/>
        <w:ind w:firstLine="645"/>
        <w:rPr>
          <w:rFonts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spacing w:line="578" w:lineRule="exact"/>
        <w:ind w:firstLine="645"/>
        <w:rPr>
          <w:rFonts w:hint="eastAsia" w:ascii="仿宋_GB2312" w:hAnsi="ˎ̥" w:eastAsia="仿宋_GB2312" w:cs="Times New Roman"/>
          <w:sz w:val="32"/>
          <w:szCs w:val="32"/>
        </w:rPr>
      </w:pPr>
      <w:r>
        <w:rPr>
          <w:rFonts w:hint="eastAsia" w:ascii="仿宋_GB2312" w:hAnsi="ˎ̥" w:eastAsia="仿宋_GB2312" w:cs="Times New Roman"/>
          <w:sz w:val="32"/>
          <w:szCs w:val="32"/>
        </w:rPr>
        <w:t>十六、支出功能分类：</w:t>
      </w:r>
    </w:p>
    <w:p>
      <w:pPr>
        <w:spacing w:line="578" w:lineRule="exact"/>
        <w:ind w:firstLine="645"/>
        <w:rPr>
          <w:rFonts w:hint="eastAsia" w:ascii="仿宋_GB2312" w:hAnsi="ˎ̥" w:eastAsia="仿宋_GB2312" w:cs="Times New Roman"/>
          <w:sz w:val="32"/>
          <w:szCs w:val="32"/>
        </w:rPr>
      </w:pPr>
      <w:r>
        <w:rPr>
          <w:rFonts w:hint="eastAsia" w:ascii="仿宋_GB2312" w:hAnsi="ˎ̥" w:eastAsia="仿宋_GB2312" w:cs="Times New Roman"/>
          <w:sz w:val="32"/>
          <w:szCs w:val="32"/>
        </w:rPr>
        <w:t>节能环保（类）96.25</w:t>
      </w:r>
      <w:r>
        <w:rPr>
          <w:rFonts w:hint="eastAsia" w:ascii="仿宋_GB2312" w:hAnsi="ˎ̥" w:eastAsia="仿宋_GB2312" w:cs="Times New Roman"/>
          <w:sz w:val="32"/>
          <w:szCs w:val="32"/>
          <w:lang w:val="en-US" w:eastAsia="zh-CN"/>
        </w:rPr>
        <w:t>万元</w:t>
      </w:r>
      <w:r>
        <w:rPr>
          <w:rFonts w:hint="eastAsia" w:ascii="仿宋_GB2312" w:hAnsi="ˎ̥" w:eastAsia="仿宋_GB2312" w:cs="Times New Roman"/>
          <w:sz w:val="32"/>
          <w:szCs w:val="32"/>
        </w:rPr>
        <w:t>（款）25（项），……；</w:t>
      </w:r>
    </w:p>
    <w:p>
      <w:pPr>
        <w:spacing w:line="578" w:lineRule="exact"/>
        <w:ind w:firstLine="645"/>
        <w:rPr>
          <w:rFonts w:hint="eastAsia" w:ascii="仿宋_GB2312" w:hAnsi="ˎ̥" w:eastAsia="仿宋_GB2312" w:cs="Times New Roman"/>
          <w:sz w:val="32"/>
          <w:szCs w:val="32"/>
        </w:rPr>
      </w:pPr>
      <w:r>
        <w:rPr>
          <w:rFonts w:hint="eastAsia" w:ascii="仿宋_GB2312" w:hAnsi="ˎ̥" w:eastAsia="仿宋_GB2312" w:cs="Times New Roman"/>
          <w:sz w:val="32"/>
          <w:szCs w:val="32"/>
        </w:rPr>
        <w:t>社会保障和就业（类）14.76</w:t>
      </w:r>
      <w:r>
        <w:rPr>
          <w:rFonts w:hint="eastAsia" w:ascii="仿宋_GB2312" w:hAnsi="ˎ̥" w:eastAsia="仿宋_GB2312" w:cs="Times New Roman"/>
          <w:sz w:val="32"/>
          <w:szCs w:val="32"/>
          <w:lang w:val="en-US" w:eastAsia="zh-CN"/>
        </w:rPr>
        <w:t>万元</w:t>
      </w:r>
      <w:r>
        <w:rPr>
          <w:rFonts w:hint="eastAsia" w:ascii="仿宋_GB2312" w:hAnsi="ˎ̥" w:eastAsia="仿宋_GB2312" w:cs="Times New Roman"/>
          <w:sz w:val="32"/>
          <w:szCs w:val="32"/>
        </w:rPr>
        <w:t>（款）2（项），……。</w:t>
      </w:r>
    </w:p>
    <w:p>
      <w:pPr>
        <w:spacing w:line="578" w:lineRule="exact"/>
        <w:ind w:firstLine="645"/>
        <w:rPr>
          <w:rFonts w:hint="eastAsia" w:ascii="仿宋_GB2312" w:hAnsi="ˎ̥" w:eastAsia="仿宋_GB2312" w:cs="Times New Roman"/>
          <w:sz w:val="32"/>
          <w:szCs w:val="32"/>
        </w:rPr>
      </w:pPr>
      <w:r>
        <w:rPr>
          <w:rFonts w:hint="eastAsia" w:ascii="仿宋_GB2312" w:hAnsi="ˎ̥" w:eastAsia="仿宋_GB2312" w:cs="Times New Roman"/>
          <w:sz w:val="32"/>
          <w:szCs w:val="32"/>
        </w:rPr>
        <w:t>住房保障（类）11.78</w:t>
      </w:r>
      <w:r>
        <w:rPr>
          <w:rFonts w:hint="eastAsia" w:ascii="仿宋_GB2312" w:hAnsi="ˎ̥" w:eastAsia="仿宋_GB2312" w:cs="Times New Roman"/>
          <w:sz w:val="32"/>
          <w:szCs w:val="32"/>
          <w:lang w:val="en-US" w:eastAsia="zh-CN"/>
        </w:rPr>
        <w:t>万元</w:t>
      </w:r>
      <w:r>
        <w:rPr>
          <w:rFonts w:hint="eastAsia" w:ascii="仿宋_GB2312" w:hAnsi="ˎ̥" w:eastAsia="仿宋_GB2312" w:cs="Times New Roman"/>
          <w:sz w:val="32"/>
          <w:szCs w:val="32"/>
        </w:rPr>
        <w:t>（款）1（项），……。</w:t>
      </w:r>
    </w:p>
    <w:p>
      <w:pPr>
        <w:spacing w:line="578" w:lineRule="exact"/>
        <w:ind w:firstLine="645"/>
        <w:rPr>
          <w:rFonts w:hint="eastAsia" w:ascii="仿宋_GB2312" w:hAnsi="ˎ̥" w:eastAsia="仿宋_GB2312" w:cs="Times New Roman"/>
          <w:sz w:val="32"/>
          <w:szCs w:val="32"/>
        </w:rPr>
      </w:pPr>
      <w:r>
        <w:rPr>
          <w:rFonts w:hint="eastAsia" w:ascii="仿宋_GB2312" w:hAnsi="ˎ̥" w:eastAsia="仿宋_GB2312" w:cs="Times New Roman"/>
          <w:sz w:val="32"/>
          <w:szCs w:val="32"/>
        </w:rPr>
        <w:t>卫生健康（类）8.02</w:t>
      </w:r>
      <w:r>
        <w:rPr>
          <w:rFonts w:hint="eastAsia" w:ascii="仿宋_GB2312" w:hAnsi="ˎ̥" w:eastAsia="仿宋_GB2312" w:cs="Times New Roman"/>
          <w:sz w:val="32"/>
          <w:szCs w:val="32"/>
          <w:lang w:val="en-US" w:eastAsia="zh-CN"/>
        </w:rPr>
        <w:t>万元</w:t>
      </w:r>
      <w:r>
        <w:rPr>
          <w:rFonts w:hint="eastAsia" w:ascii="仿宋_GB2312" w:hAnsi="ˎ̥" w:eastAsia="仿宋_GB2312" w:cs="Times New Roman"/>
          <w:sz w:val="32"/>
          <w:szCs w:val="32"/>
        </w:rPr>
        <w:t>（款）2（项），……。</w:t>
      </w:r>
      <w:bookmarkStart w:id="120" w:name="_GoBack"/>
      <w:bookmarkEnd w:id="120"/>
    </w:p>
    <w:p>
      <w:pPr>
        <w:spacing w:line="578" w:lineRule="exact"/>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支出功能分类的名词解释，各预算部门、单位根据实际支出情况填列，可参阅财政部印发的《</w:t>
      </w:r>
      <w:r>
        <w:rPr>
          <w:rFonts w:ascii="仿宋_GB2312" w:hAnsi="ˎ̥" w:eastAsia="仿宋_GB2312"/>
          <w:sz w:val="32"/>
          <w:szCs w:val="32"/>
        </w:rPr>
        <w:t>2024</w:t>
      </w:r>
      <w:r>
        <w:rPr>
          <w:rFonts w:hint="eastAsia" w:ascii="仿宋_GB2312" w:hAnsi="ˎ̥" w:eastAsia="仿宋_GB2312"/>
          <w:sz w:val="32"/>
          <w:szCs w:val="32"/>
        </w:rPr>
        <w:t>年政府收支分类科目》。）</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C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方正仿宋简体">
    <w:altName w:val="微软雅黑"/>
    <w:panose1 w:val="03000509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20</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31CE"/>
    <w:multiLevelType w:val="singleLevel"/>
    <w:tmpl w:val="870231CE"/>
    <w:lvl w:ilvl="0" w:tentative="0">
      <w:start w:val="1"/>
      <w:numFmt w:val="chineseCounting"/>
      <w:suff w:val="nothing"/>
      <w:lvlText w:val="（%1）"/>
      <w:lvlJc w:val="left"/>
      <w:pPr>
        <w:ind w:left="0" w:firstLine="420"/>
      </w:pPr>
      <w:rPr>
        <w:rFonts w:hint="eastAsia"/>
      </w:r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FDAD610B"/>
    <w:multiLevelType w:val="singleLevel"/>
    <w:tmpl w:val="FDAD610B"/>
    <w:lvl w:ilvl="0" w:tentative="0">
      <w:start w:val="1"/>
      <w:numFmt w:val="chineseCounting"/>
      <w:suff w:val="nothing"/>
      <w:lvlText w:val="%1、"/>
      <w:lvlJc w:val="left"/>
      <w:rPr>
        <w:rFonts w:hint="eastAsia"/>
      </w:rPr>
    </w:lvl>
  </w:abstractNum>
  <w:abstractNum w:abstractNumId="3">
    <w:nsid w:val="0F1971B7"/>
    <w:multiLevelType w:val="singleLevel"/>
    <w:tmpl w:val="0F1971B7"/>
    <w:lvl w:ilvl="0" w:tentative="0">
      <w:start w:val="1"/>
      <w:numFmt w:val="chineseCounting"/>
      <w:suff w:val="nothing"/>
      <w:lvlText w:val="%1、"/>
      <w:lvlJc w:val="left"/>
      <w:rPr>
        <w:rFonts w:hint="eastAsia"/>
      </w:rPr>
    </w:lvl>
  </w:abstractNum>
  <w:abstractNum w:abstractNumId="4">
    <w:nsid w:val="5E86EEAE"/>
    <w:multiLevelType w:val="singleLevel"/>
    <w:tmpl w:val="5E86EEAE"/>
    <w:lvl w:ilvl="0" w:tentative="0">
      <w:start w:val="1"/>
      <w:numFmt w:val="decimal"/>
      <w:lvlText w:val="%1."/>
      <w:lvlJc w:val="left"/>
      <w:pPr>
        <w:ind w:left="425" w:hanging="425"/>
      </w:pPr>
      <w:rPr>
        <w:rFonts w:hint="default"/>
      </w:rPr>
    </w:lvl>
  </w:abstractNum>
  <w:abstractNum w:abstractNumId="5">
    <w:nsid w:val="72109F8D"/>
    <w:multiLevelType w:val="singleLevel"/>
    <w:tmpl w:val="72109F8D"/>
    <w:lvl w:ilvl="0" w:tentative="0">
      <w:start w:val="7"/>
      <w:numFmt w:val="chineseCounting"/>
      <w:suff w:val="nothing"/>
      <w:lvlText w:val="%1、"/>
      <w:lvlJc w:val="left"/>
      <w:rPr>
        <w:rFonts w:hint="eastAsia"/>
      </w:r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成在坚强，败在固执">
    <w15:presenceInfo w15:providerId="WPS Office" w15:userId="3694808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Y2ZjFhNTY2MTNiYjYwOTIzYjdlMzhjZTQwZjAyOTcifQ=="/>
  </w:docVars>
  <w:rsids>
    <w:rsidRoot w:val="A7F73C99"/>
    <w:rsid w:val="00064A91"/>
    <w:rsid w:val="000718C4"/>
    <w:rsid w:val="000779B0"/>
    <w:rsid w:val="000C319E"/>
    <w:rsid w:val="001E4E23"/>
    <w:rsid w:val="001E510D"/>
    <w:rsid w:val="001F28C1"/>
    <w:rsid w:val="001F4EC0"/>
    <w:rsid w:val="00204D59"/>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7C46A6"/>
    <w:rsid w:val="008232A9"/>
    <w:rsid w:val="008806DE"/>
    <w:rsid w:val="00896ADB"/>
    <w:rsid w:val="009A2744"/>
    <w:rsid w:val="00A52305"/>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A517E"/>
    <w:rsid w:val="00DB612B"/>
    <w:rsid w:val="00DC2A37"/>
    <w:rsid w:val="00E07782"/>
    <w:rsid w:val="00E2659F"/>
    <w:rsid w:val="00E70EA3"/>
    <w:rsid w:val="00EB13E1"/>
    <w:rsid w:val="00EC3A52"/>
    <w:rsid w:val="00F0336A"/>
    <w:rsid w:val="00F06DA9"/>
    <w:rsid w:val="00F103D6"/>
    <w:rsid w:val="00F25220"/>
    <w:rsid w:val="00F3273F"/>
    <w:rsid w:val="00FA2884"/>
    <w:rsid w:val="00FB4321"/>
    <w:rsid w:val="00FC03DC"/>
    <w:rsid w:val="00FC5708"/>
    <w:rsid w:val="024B43B2"/>
    <w:rsid w:val="052133D4"/>
    <w:rsid w:val="063302DF"/>
    <w:rsid w:val="09201287"/>
    <w:rsid w:val="09FD4665"/>
    <w:rsid w:val="0ECC527C"/>
    <w:rsid w:val="0FC80124"/>
    <w:rsid w:val="110136EF"/>
    <w:rsid w:val="136F98C7"/>
    <w:rsid w:val="17427E68"/>
    <w:rsid w:val="1755065F"/>
    <w:rsid w:val="1AFC29C9"/>
    <w:rsid w:val="1CA52F2E"/>
    <w:rsid w:val="1DFE370B"/>
    <w:rsid w:val="1E3630B9"/>
    <w:rsid w:val="20D727AF"/>
    <w:rsid w:val="26EEC2B5"/>
    <w:rsid w:val="29472309"/>
    <w:rsid w:val="2B406E77"/>
    <w:rsid w:val="2C2A0C43"/>
    <w:rsid w:val="2D1E73A5"/>
    <w:rsid w:val="32717154"/>
    <w:rsid w:val="34B63260"/>
    <w:rsid w:val="37FDA7E2"/>
    <w:rsid w:val="3A314D88"/>
    <w:rsid w:val="3A746883"/>
    <w:rsid w:val="3CA15DE9"/>
    <w:rsid w:val="3FE61EE5"/>
    <w:rsid w:val="406508EE"/>
    <w:rsid w:val="408D6263"/>
    <w:rsid w:val="418705C4"/>
    <w:rsid w:val="41B40CEE"/>
    <w:rsid w:val="48317291"/>
    <w:rsid w:val="485F7024"/>
    <w:rsid w:val="48E70666"/>
    <w:rsid w:val="4C6877E5"/>
    <w:rsid w:val="4D6A468D"/>
    <w:rsid w:val="4E481A1B"/>
    <w:rsid w:val="4EA86137"/>
    <w:rsid w:val="56CA7FD0"/>
    <w:rsid w:val="57FA38D1"/>
    <w:rsid w:val="5F7D3333"/>
    <w:rsid w:val="61385890"/>
    <w:rsid w:val="63FC5053"/>
    <w:rsid w:val="687436E1"/>
    <w:rsid w:val="6DA45C50"/>
    <w:rsid w:val="6E9A7825"/>
    <w:rsid w:val="6F670F9B"/>
    <w:rsid w:val="71B40FF2"/>
    <w:rsid w:val="72BA43E6"/>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3">
    <w:name w:val="annotation text"/>
    <w:basedOn w:val="1"/>
    <w:link w:val="12"/>
    <w:qFormat/>
    <w:uiPriority w:val="0"/>
    <w:pPr>
      <w:jc w:val="left"/>
    </w:pPr>
  </w:style>
  <w:style w:type="paragraph" w:styleId="4">
    <w:name w:val="Balloon Text"/>
    <w:basedOn w:val="1"/>
    <w:link w:val="13"/>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5"/>
    <w:qFormat/>
    <w:uiPriority w:val="0"/>
    <w:rPr>
      <w:b/>
      <w:bCs/>
    </w:rPr>
  </w:style>
  <w:style w:type="character" w:styleId="10">
    <w:name w:val="page number"/>
    <w:qFormat/>
    <w:uiPriority w:val="0"/>
  </w:style>
  <w:style w:type="character" w:styleId="11">
    <w:name w:val="annotation reference"/>
    <w:qFormat/>
    <w:uiPriority w:val="0"/>
    <w:rPr>
      <w:sz w:val="21"/>
      <w:szCs w:val="21"/>
    </w:rPr>
  </w:style>
  <w:style w:type="character" w:customStyle="1" w:styleId="12">
    <w:name w:val="批注文字 Char"/>
    <w:link w:val="3"/>
    <w:qFormat/>
    <w:uiPriority w:val="0"/>
    <w:rPr>
      <w:kern w:val="2"/>
      <w:sz w:val="21"/>
      <w:szCs w:val="24"/>
    </w:rPr>
  </w:style>
  <w:style w:type="character" w:customStyle="1" w:styleId="13">
    <w:name w:val="批注框文本 Char"/>
    <w:link w:val="4"/>
    <w:qFormat/>
    <w:uiPriority w:val="0"/>
    <w:rPr>
      <w:kern w:val="2"/>
      <w:sz w:val="18"/>
      <w:szCs w:val="18"/>
    </w:rPr>
  </w:style>
  <w:style w:type="character" w:customStyle="1" w:styleId="14">
    <w:name w:val="页眉 Char"/>
    <w:link w:val="6"/>
    <w:qFormat/>
    <w:uiPriority w:val="0"/>
    <w:rPr>
      <w:kern w:val="2"/>
      <w:sz w:val="18"/>
      <w:szCs w:val="18"/>
    </w:rPr>
  </w:style>
  <w:style w:type="character" w:customStyle="1" w:styleId="15">
    <w:name w:val="批注主题 Char"/>
    <w:link w:val="7"/>
    <w:qFormat/>
    <w:uiPriority w:val="0"/>
    <w:rPr>
      <w:b/>
      <w:bCs/>
      <w:kern w:val="2"/>
      <w:sz w:val="21"/>
      <w:szCs w:val="24"/>
    </w:rPr>
  </w:style>
  <w:style w:type="paragraph" w:customStyle="1" w:styleId="16">
    <w:name w:val="WPSOffice手动目录 1"/>
    <w:qFormat/>
    <w:uiPriority w:val="0"/>
    <w:rPr>
      <w:rFonts w:ascii="Times New Roman" w:hAnsi="Times New Roman" w:eastAsia="宋体" w:cs="Times New Roman"/>
      <w:lang w:val="en-US" w:eastAsia="zh-CN" w:bidi="ar-SA"/>
    </w:rPr>
  </w:style>
  <w:style w:type="paragraph" w:customStyle="1" w:styleId="1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8">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9494</Words>
  <Characters>10210</Characters>
  <Lines>74</Lines>
  <Paragraphs>20</Paragraphs>
  <TotalTime>9</TotalTime>
  <ScaleCrop>false</ScaleCrop>
  <LinksUpToDate>false</LinksUpToDate>
  <CharactersWithSpaces>10353</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成在坚强，败在固执</cp:lastModifiedBy>
  <cp:lastPrinted>2023-08-03T00:58:00Z</cp:lastPrinted>
  <dcterms:modified xsi:type="dcterms:W3CDTF">2026-02-02T07:22:47Z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3A71F9CBE6454A90822732DB682DEE2F_13</vt:lpwstr>
  </property>
  <property fmtid="{D5CDD505-2E9C-101B-9397-08002B2CF9AE}" pid="4" name="KSOTemplateDocerSaveRecord">
    <vt:lpwstr>eyJoZGlkIjoiY2VlZThlZDk5ZTQ4MTFjNGY3MjIxNTdiOWMzZmQwMWMiLCJ1c2VySWQiOiIyMzQ5MTc1OTYifQ==</vt:lpwstr>
  </property>
</Properties>
</file>