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w:t>
      </w:r>
      <w:r>
        <w:rPr>
          <w:rFonts w:hint="eastAsia" w:asciiTheme="majorEastAsia" w:hAnsiTheme="majorEastAsia" w:eastAsiaTheme="majorEastAsia" w:cstheme="majorEastAsia"/>
          <w:b/>
          <w:bCs/>
          <w:sz w:val="44"/>
          <w:szCs w:val="44"/>
          <w:lang w:val="en-US" w:eastAsia="zh-CN"/>
        </w:rPr>
        <w:t>信访局</w:t>
      </w:r>
      <w:r>
        <w:rPr>
          <w:rFonts w:hint="eastAsia" w:asciiTheme="majorEastAsia" w:hAnsiTheme="majorEastAsia" w:eastAsiaTheme="majorEastAsia" w:cstheme="majorEastAsia"/>
          <w:b/>
          <w:bCs/>
          <w:sz w:val="44"/>
          <w:szCs w:val="44"/>
        </w:rPr>
        <w:t>2024年度部门决算公开</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val="0"/>
          <w:bCs w:val="0"/>
          <w:sz w:val="32"/>
          <w:szCs w:val="32"/>
        </w:rPr>
      </w:pPr>
    </w:p>
    <w:p>
      <w:pPr>
        <w:spacing w:line="578" w:lineRule="exact"/>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申扎县信访局</w:t>
      </w:r>
    </w:p>
    <w:p>
      <w:pPr>
        <w:spacing w:line="578" w:lineRule="exact"/>
        <w:jc w:val="center"/>
        <w:rPr>
          <w:rFonts w:hint="default" w:ascii="黑体" w:hAnsi="黑体" w:eastAsia="黑体" w:cs="黑体"/>
          <w:b/>
          <w:bCs/>
          <w:sz w:val="44"/>
          <w:szCs w:val="44"/>
          <w:lang w:val="en-US" w:eastAsia="zh-CN"/>
        </w:rPr>
      </w:pPr>
    </w:p>
    <w:p>
      <w:pPr>
        <w:spacing w:line="578" w:lineRule="exact"/>
        <w:jc w:val="center"/>
        <w:rPr>
          <w:rFonts w:hint="eastAsia" w:ascii="黑体" w:hAnsi="黑体" w:eastAsia="黑体" w:cs="黑体"/>
          <w:sz w:val="44"/>
          <w:szCs w:val="44"/>
        </w:rPr>
      </w:pPr>
    </w:p>
    <w:p>
      <w:pPr>
        <w:spacing w:line="578" w:lineRule="exact"/>
        <w:ind w:firstLine="3960" w:firstLineChars="900"/>
        <w:jc w:val="both"/>
        <w:rPr>
          <w:rFonts w:hint="eastAsia" w:ascii="黑体" w:hAnsi="黑体" w:eastAsia="黑体" w:cs="黑体"/>
          <w:sz w:val="44"/>
          <w:szCs w:val="44"/>
        </w:rPr>
      </w:pPr>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049_WPSOffice_Level1"/>
      <w:bookmarkStart w:id="3" w:name="_Toc10720_WPSOffice_Level1"/>
      <w:bookmarkStart w:id="4" w:name="_Toc32433_WPSOffice_Level1"/>
      <w:bookmarkStart w:id="5" w:name="_Toc1704_WPSOffice_Level1"/>
      <w:bookmarkStart w:id="6" w:name="_Toc23465_WPSOffice_Level1"/>
      <w:bookmarkStart w:id="7" w:name="_Toc22941_WPSOffice_Level1"/>
      <w:bookmarkStart w:id="8" w:name="_Toc24238_WPSOffice_Level2"/>
      <w:bookmarkStart w:id="9" w:name="_Toc14159_WPSOffice_Level2"/>
      <w:bookmarkStart w:id="10" w:name="_Toc26580_WPSOffice_Level2"/>
      <w:bookmarkStart w:id="11" w:name="_Toc20274_WPSOffice_Level2"/>
      <w:bookmarkStart w:id="12" w:name="_Toc20205_WPSOffice_Level2"/>
      <w:bookmarkStart w:id="13" w:name="_Toc32622_WPSOffice_Level2"/>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keepNext w:val="0"/>
        <w:keepLines w:val="0"/>
        <w:pageBreakBefore w:val="0"/>
        <w:widowControl w:val="0"/>
        <w:numPr>
          <w:ilvl w:val="0"/>
          <w:numId w:val="2"/>
        </w:numPr>
        <w:kinsoku/>
        <w:wordWrap w:val="0"/>
        <w:overflowPunct/>
        <w:topLinePunct w:val="0"/>
        <w:autoSpaceDE/>
        <w:autoSpaceDN/>
        <w:bidi w:val="0"/>
        <w:adjustRightInd/>
        <w:snapToGrid/>
        <w:spacing w:before="0" w:after="0" w:line="576" w:lineRule="exact"/>
        <w:ind w:right="18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s="Times New Roman"/>
          <w:sz w:val="32"/>
          <w:szCs w:val="32"/>
          <w:lang w:val="en-US" w:eastAsia="zh-CN"/>
        </w:rPr>
      </w:pPr>
      <w:r>
        <w:rPr>
          <w:rFonts w:hint="eastAsia" w:ascii="仿宋_GB2312" w:hAnsi="ˎ̥" w:eastAsia="仿宋_GB2312" w:cs="Times New Roman"/>
          <w:sz w:val="32"/>
          <w:szCs w:val="32"/>
        </w:rPr>
        <w:t>（一）</w:t>
      </w:r>
      <w:r>
        <w:rPr>
          <w:rFonts w:hint="eastAsia" w:ascii="仿宋_GB2312" w:hAnsi="ˎ̥" w:eastAsia="仿宋_GB2312" w:cs="Times New Roman"/>
          <w:sz w:val="32"/>
          <w:szCs w:val="32"/>
          <w:lang w:val="en-US" w:eastAsia="zh-CN"/>
        </w:rPr>
        <w:t>受理、转送、交办信访人提出的信访事项。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rPr>
      </w:pPr>
      <w:r>
        <w:rPr>
          <w:rFonts w:hint="eastAsia" w:ascii="仿宋_GB2312" w:hAnsi="ˎ̥" w:eastAsia="仿宋_GB2312" w:cs="Times New Roman"/>
          <w:sz w:val="32"/>
          <w:szCs w:val="32"/>
        </w:rPr>
        <w:t>（二）</w:t>
      </w:r>
      <w:r>
        <w:rPr>
          <w:rFonts w:hint="eastAsia" w:ascii="仿宋_GB2312" w:hAnsi="ˎ̥" w:eastAsia="仿宋_GB2312" w:cs="Times New Roman"/>
          <w:sz w:val="32"/>
          <w:szCs w:val="32"/>
          <w:lang w:val="en-US" w:eastAsia="zh-CN"/>
        </w:rPr>
        <w:t>协调解决跨地区、跨部门的重要信访问题</w:t>
      </w:r>
      <w:r>
        <w:rPr>
          <w:rFonts w:hint="eastAsia" w:ascii="仿宋_GB2312" w:hAnsi="ˎ̥"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rPr>
      </w:pPr>
      <w:r>
        <w:rPr>
          <w:rFonts w:hint="eastAsia" w:ascii="仿宋_GB2312" w:hAnsi="ˎ̥" w:eastAsia="仿宋_GB2312" w:cs="Times New Roman"/>
          <w:sz w:val="32"/>
          <w:szCs w:val="32"/>
        </w:rPr>
        <w:t>（三）</w:t>
      </w:r>
      <w:r>
        <w:rPr>
          <w:rFonts w:hint="eastAsia" w:ascii="仿宋_GB2312" w:hAnsi="ˎ̥" w:eastAsia="仿宋_GB2312" w:cs="Times New Roman"/>
          <w:sz w:val="32"/>
          <w:szCs w:val="32"/>
          <w:lang w:val="en-US" w:eastAsia="zh-CN"/>
        </w:rPr>
        <w:t>督促检查重要信访事项的处理与落实</w:t>
      </w:r>
      <w:r>
        <w:rPr>
          <w:rFonts w:hint="eastAsia" w:ascii="仿宋_GB2312" w:hAnsi="ˎ̥"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rPr>
      </w:pPr>
      <w:r>
        <w:rPr>
          <w:rFonts w:hint="eastAsia" w:ascii="仿宋_GB2312" w:hAnsi="ˎ̥" w:eastAsia="仿宋_GB2312" w:cs="Times New Roman"/>
          <w:sz w:val="32"/>
          <w:szCs w:val="32"/>
        </w:rPr>
        <w:t>（四）</w:t>
      </w:r>
      <w:r>
        <w:rPr>
          <w:rFonts w:hint="eastAsia" w:ascii="仿宋_GB2312" w:hAnsi="ˎ̥" w:eastAsia="仿宋_GB2312" w:cs="Times New Roman"/>
          <w:sz w:val="32"/>
          <w:szCs w:val="32"/>
          <w:lang w:val="en-US" w:eastAsia="zh-CN"/>
        </w:rPr>
        <w:t>综合反应信访信息，分析研判形势，为党委和政府提供决策参考</w:t>
      </w:r>
      <w:r>
        <w:rPr>
          <w:rFonts w:hint="eastAsia" w:ascii="仿宋_GB2312" w:hAnsi="ˎ̥"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lang w:val="en-US" w:eastAsia="zh-CN"/>
        </w:rPr>
      </w:pPr>
      <w:r>
        <w:rPr>
          <w:rFonts w:hint="eastAsia" w:ascii="仿宋_GB2312" w:hAnsi="ˎ̥" w:eastAsia="仿宋_GB2312" w:cs="Times New Roman"/>
          <w:sz w:val="32"/>
          <w:szCs w:val="32"/>
        </w:rPr>
        <w:t>（五）</w:t>
      </w:r>
      <w:r>
        <w:rPr>
          <w:rFonts w:hint="eastAsia" w:ascii="仿宋_GB2312" w:hAnsi="ˎ̥" w:eastAsia="仿宋_GB2312" w:cs="Times New Roman"/>
          <w:sz w:val="32"/>
          <w:szCs w:val="32"/>
          <w:lang w:val="en-US" w:eastAsia="zh-CN"/>
        </w:rPr>
        <w:t>指导本级其他机关、单位和下级信访工作。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lang w:val="en-US" w:eastAsia="zh-CN"/>
        </w:rPr>
      </w:pPr>
      <w:r>
        <w:rPr>
          <w:rFonts w:hint="eastAsia" w:ascii="仿宋_GB2312" w:hAnsi="ˎ̥" w:eastAsia="仿宋_GB2312" w:cs="Times New Roman"/>
          <w:sz w:val="32"/>
          <w:szCs w:val="32"/>
          <w:lang w:val="en-US" w:eastAsia="zh-CN"/>
        </w:rPr>
        <w:t>（六）提出改进工作、完善政策和追究责任的建议。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s="Times New Roman"/>
          <w:sz w:val="32"/>
          <w:szCs w:val="32"/>
          <w:lang w:val="en-US" w:eastAsia="zh-CN"/>
        </w:rPr>
      </w:pPr>
      <w:r>
        <w:rPr>
          <w:rFonts w:hint="eastAsia" w:ascii="仿宋_GB2312" w:hAnsi="ˎ̥" w:eastAsia="仿宋_GB2312" w:cs="Times New Roman"/>
          <w:sz w:val="32"/>
          <w:szCs w:val="32"/>
          <w:lang w:val="en-US" w:eastAsia="zh-CN"/>
        </w:rPr>
        <w:t>（七）承担本级党委和政府交办的其他事项。</w:t>
      </w:r>
    </w:p>
    <w:p>
      <w:pPr>
        <w:keepNext w:val="0"/>
        <w:keepLines w:val="0"/>
        <w:pageBreakBefore w:val="0"/>
        <w:widowControl w:val="0"/>
        <w:numPr>
          <w:ilvl w:val="0"/>
          <w:numId w:val="0"/>
        </w:numPr>
        <w:kinsoku/>
        <w:wordWrap w:val="0"/>
        <w:overflowPunct/>
        <w:topLinePunct w:val="0"/>
        <w:autoSpaceDE/>
        <w:autoSpaceDN/>
        <w:bidi w:val="0"/>
        <w:adjustRightInd/>
        <w:snapToGrid/>
        <w:spacing w:before="0" w:after="0" w:line="576" w:lineRule="exact"/>
        <w:ind w:right="180" w:rightChars="0" w:firstLine="640" w:firstLineChars="200"/>
        <w:jc w:val="both"/>
        <w:textAlignment w:val="auto"/>
        <w:rPr>
          <w:rFonts w:hint="eastAsia" w:ascii="黑体" w:hAnsi="黑体" w:eastAsia="黑体" w:cs="黑体"/>
          <w:sz w:val="32"/>
          <w:szCs w:val="32"/>
        </w:rPr>
      </w:pPr>
      <w:bookmarkStart w:id="14" w:name="_Toc24474_WPSOffice_Level2"/>
      <w:bookmarkStart w:id="15" w:name="_Toc4833_WPSOffice_Level2"/>
      <w:bookmarkStart w:id="16" w:name="_Toc17796_WPSOffice_Level2"/>
      <w:bookmarkStart w:id="17" w:name="_Toc6572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sz w:val="32"/>
          <w:szCs w:val="32"/>
          <w:lang w:eastAsia="zh-CN"/>
        </w:rPr>
      </w:pPr>
      <w:r>
        <w:rPr>
          <w:rFonts w:hint="eastAsia" w:ascii="仿宋_GB2312" w:hAnsi="ˎ̥" w:eastAsia="仿宋_GB2312" w:cs="Times New Roman"/>
          <w:sz w:val="32"/>
          <w:szCs w:val="32"/>
        </w:rPr>
        <w:t>申扎县</w:t>
      </w:r>
      <w:r>
        <w:rPr>
          <w:rFonts w:hint="eastAsia" w:ascii="仿宋_GB2312" w:hAnsi="ˎ̥" w:eastAsia="仿宋_GB2312" w:cs="Times New Roman"/>
          <w:sz w:val="32"/>
          <w:szCs w:val="32"/>
          <w:lang w:val="en-US" w:eastAsia="zh-CN"/>
        </w:rPr>
        <w:t>信访局</w:t>
      </w:r>
      <w:r>
        <w:rPr>
          <w:rFonts w:hint="eastAsia" w:ascii="仿宋_GB2312" w:hAnsi="ˎ̥" w:eastAsia="仿宋_GB2312" w:cs="Times New Roman"/>
          <w:sz w:val="32"/>
          <w:szCs w:val="32"/>
        </w:rPr>
        <w:t>隶属行政机构，单位性质为正科级机构，社会统一信用代码为：</w:t>
      </w:r>
      <w:r>
        <w:rPr>
          <w:rFonts w:hint="eastAsia" w:ascii="仿宋_GB2312" w:hAnsi="ˎ̥" w:eastAsia="仿宋_GB2312" w:cs="Times New Roman"/>
          <w:sz w:val="32"/>
          <w:szCs w:val="32"/>
          <w:lang w:val="en-US" w:eastAsia="zh-CN"/>
        </w:rPr>
        <w:t>11542426MB09768476</w:t>
      </w:r>
      <w:r>
        <w:rPr>
          <w:rFonts w:hint="eastAsia" w:ascii="仿宋_GB2312" w:hAnsi="ˎ̥" w:eastAsia="仿宋_GB2312" w:cs="Times New Roman"/>
          <w:sz w:val="32"/>
          <w:szCs w:val="32"/>
        </w:rPr>
        <w:t>。我单位在职人数</w:t>
      </w:r>
      <w:r>
        <w:rPr>
          <w:rFonts w:hint="eastAsia" w:ascii="仿宋_GB2312" w:hAnsi="ˎ̥" w:eastAsia="仿宋_GB2312" w:cs="Times New Roman"/>
          <w:sz w:val="32"/>
          <w:szCs w:val="32"/>
          <w:lang w:val="en-US" w:eastAsia="zh-CN"/>
        </w:rPr>
        <w:t>9</w:t>
      </w:r>
      <w:r>
        <w:rPr>
          <w:rFonts w:hint="eastAsia" w:ascii="仿宋_GB2312" w:hAnsi="ˎ̥" w:eastAsia="仿宋_GB2312" w:cs="Times New Roman"/>
          <w:sz w:val="32"/>
          <w:szCs w:val="32"/>
        </w:rPr>
        <w:t>人，其中：行政编制</w:t>
      </w:r>
      <w:r>
        <w:rPr>
          <w:rFonts w:hint="eastAsia" w:ascii="仿宋_GB2312" w:hAnsi="ˎ̥" w:eastAsia="仿宋_GB2312" w:cs="Times New Roman"/>
          <w:sz w:val="32"/>
          <w:szCs w:val="32"/>
          <w:lang w:val="en-US" w:eastAsia="zh-CN"/>
        </w:rPr>
        <w:t>9</w:t>
      </w:r>
      <w:r>
        <w:rPr>
          <w:rFonts w:hint="eastAsia" w:ascii="仿宋_GB2312" w:hAnsi="ˎ̥" w:eastAsia="仿宋_GB2312" w:cs="Times New Roman"/>
          <w:sz w:val="32"/>
          <w:szCs w:val="32"/>
        </w:rPr>
        <w:t>人。</w:t>
      </w: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spacing w:line="578" w:lineRule="exact"/>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 xml:space="preserve">  </w:t>
      </w:r>
    </w:p>
    <w:p>
      <w:pPr>
        <w:spacing w:line="578" w:lineRule="exact"/>
        <w:ind w:firstLine="1600" w:firstLineChars="500"/>
        <w:jc w:val="both"/>
        <w:rPr>
          <w:rFonts w:hint="eastAsia" w:ascii="黑体" w:hAnsi="ˎ̥" w:eastAsia="黑体"/>
          <w:sz w:val="32"/>
          <w:szCs w:val="32"/>
        </w:rPr>
      </w:pPr>
      <w:bookmarkStart w:id="19" w:name="_Toc30451_WPSOffice_Level1"/>
      <w:bookmarkStart w:id="20" w:name="_Toc6234_WPSOffice_Level1"/>
      <w:bookmarkStart w:id="21" w:name="_Toc28253_WPSOffice_Level1"/>
      <w:bookmarkStart w:id="22" w:name="_Toc30690_WPSOffice_Level1"/>
      <w:bookmarkStart w:id="23" w:name="_Toc8164_WPSOffice_Level1"/>
      <w:bookmarkStart w:id="24" w:name="_Toc15521_WPSOffice_Level1"/>
      <w:bookmarkStart w:id="25" w:name="_Toc8867_WPSOffice_Level2"/>
      <w:bookmarkStart w:id="26" w:name="_Toc32695_WPSOffice_Level2"/>
      <w:bookmarkStart w:id="27" w:name="_Toc11518_WPSOffice_Level2"/>
      <w:bookmarkStart w:id="28" w:name="_Toc6211_WPSOffice_Level2"/>
      <w:bookmarkStart w:id="29" w:name="_Toc4029_WPSOffice_Level2"/>
      <w:bookmarkStart w:id="30" w:name="_Toc32472_WPSOffice_Level2"/>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3139_WPSOffice_Level2"/>
      <w:bookmarkStart w:id="32" w:name="_Toc26621_WPSOffice_Level2"/>
      <w:bookmarkStart w:id="33" w:name="_Toc30334_WPSOffice_Level2"/>
      <w:bookmarkStart w:id="34" w:name="_Toc25608_WPSOffice_Level2"/>
      <w:bookmarkStart w:id="35" w:name="_Toc14349_WPSOffice_Level2"/>
      <w:bookmarkStart w:id="36" w:name="_Toc28622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14658_WPSOffice_Level2"/>
      <w:bookmarkStart w:id="39" w:name="_Toc5489_WPSOffice_Level2"/>
      <w:bookmarkStart w:id="40" w:name="_Toc3262_WPSOffice_Level2"/>
      <w:bookmarkStart w:id="41" w:name="_Toc13854_WPSOffice_Level2"/>
      <w:bookmarkStart w:id="42" w:name="_Toc178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3493_WPSOffice_Level2"/>
      <w:bookmarkStart w:id="44" w:name="_Toc21415_WPSOffice_Level2"/>
      <w:bookmarkStart w:id="45" w:name="_Toc23591_WPSOffice_Level2"/>
      <w:bookmarkStart w:id="46" w:name="_Toc7988_WPSOffice_Level2"/>
      <w:bookmarkStart w:id="47" w:name="_Toc13701_WPSOffice_Level2"/>
      <w:bookmarkStart w:id="48" w:name="_Toc426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25166_WPSOffice_Level2"/>
      <w:bookmarkStart w:id="51" w:name="_Toc7879_WPSOffice_Level2"/>
      <w:bookmarkStart w:id="52" w:name="_Toc22783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283_WPSOffice_Level2"/>
      <w:bookmarkStart w:id="56" w:name="_Toc25362_WPSOffice_Level2"/>
      <w:bookmarkStart w:id="57" w:name="_Toc2632_WPSOffice_Level2"/>
      <w:bookmarkStart w:id="58" w:name="_Toc5343_WPSOffice_Level2"/>
      <w:bookmarkStart w:id="59" w:name="_Toc17833_WPSOffice_Level2"/>
      <w:bookmarkStart w:id="60" w:name="_Toc837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533_WPSOffice_Level2"/>
      <w:bookmarkStart w:id="62" w:name="_Toc11799_WPSOffice_Level2"/>
      <w:bookmarkStart w:id="63" w:name="_Toc21310_WPSOffice_Level2"/>
      <w:bookmarkStart w:id="64" w:name="_Toc5594_WPSOffice_Level2"/>
      <w:bookmarkStart w:id="65" w:name="_Toc13345_WPSOffice_Level2"/>
      <w:bookmarkStart w:id="66" w:name="_Toc6020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19961_WPSOffice_Level2"/>
      <w:bookmarkStart w:id="68" w:name="_Toc29886_WPSOffice_Level2"/>
      <w:bookmarkStart w:id="69" w:name="_Toc9377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黑体" w:hAnsi="ˎ̥" w:eastAsia="黑体"/>
          <w:sz w:val="32"/>
          <w:szCs w:val="32"/>
        </w:rPr>
      </w:pPr>
      <w:r>
        <w:rPr>
          <w:rFonts w:hint="eastAsia" w:ascii="仿宋" w:hAnsi="仿宋" w:eastAsia="仿宋" w:cs="仿宋"/>
          <w:w w:val="100"/>
          <w:sz w:val="32"/>
          <w:szCs w:val="32"/>
        </w:rPr>
        <w:t xml:space="preserve">以上报表见附件1。  </w:t>
      </w:r>
      <w:bookmarkStart w:id="71" w:name="_Toc27590_WPSOffice_Level1"/>
      <w:bookmarkStart w:id="72" w:name="_Toc31264_WPSOffice_Level1"/>
      <w:bookmarkStart w:id="73" w:name="_Toc4402_WPSOffice_Level1"/>
      <w:bookmarkStart w:id="74" w:name="_Toc29683_WPSOffice_Level1"/>
      <w:bookmarkStart w:id="75" w:name="_Toc16686_WPSOffice_Level1"/>
      <w:bookmarkStart w:id="76" w:name="_Toc28629_WPSOffice_Level1"/>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eastAsia" w:ascii="黑体" w:hAnsi="黑体" w:eastAsia="黑体" w:cs="黑体"/>
          <w:bCs/>
          <w:sz w:val="32"/>
          <w:szCs w:val="32"/>
        </w:rPr>
        <w:t>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eastAsia" w:ascii="仿宋_GB2312" w:hAnsi="ˎ̥" w:eastAsia="仿宋_GB2312"/>
          <w:sz w:val="32"/>
          <w:szCs w:val="32"/>
          <w:lang w:val="en-US" w:eastAsia="zh-CN"/>
        </w:rPr>
        <w:t>161.1</w:t>
      </w:r>
      <w:r>
        <w:rPr>
          <w:rFonts w:hint="eastAsia" w:ascii="仿宋_GB2312" w:hAnsi="ˎ̥" w:eastAsia="仿宋_GB2312"/>
          <w:sz w:val="32"/>
          <w:szCs w:val="32"/>
        </w:rPr>
        <w:t>万元，支出总计</w:t>
      </w:r>
      <w:r>
        <w:rPr>
          <w:rFonts w:hint="eastAsia" w:ascii="仿宋_GB2312" w:hAnsi="ˎ̥" w:eastAsia="仿宋_GB2312"/>
          <w:sz w:val="32"/>
          <w:szCs w:val="32"/>
          <w:lang w:val="en-US" w:eastAsia="zh-CN"/>
        </w:rPr>
        <w:t>161.1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w:t>
      </w:r>
      <w:r>
        <w:rPr>
          <w:rFonts w:hint="eastAsia" w:ascii="仿宋_GB2312" w:hAnsi="ˎ̥" w:eastAsia="仿宋_GB2312"/>
          <w:sz w:val="32"/>
          <w:szCs w:val="32"/>
          <w:lang w:eastAsia="zh-CN"/>
        </w:rPr>
        <w:t>减少</w:t>
      </w:r>
      <w:r>
        <w:rPr>
          <w:rFonts w:hint="eastAsia" w:ascii="仿宋_GB2312" w:hAnsi="ˎ̥" w:eastAsia="仿宋_GB2312"/>
          <w:sz w:val="32"/>
          <w:szCs w:val="32"/>
          <w:lang w:val="en-US" w:eastAsia="zh-CN"/>
        </w:rPr>
        <w:t>16.63</w:t>
      </w:r>
      <w:r>
        <w:rPr>
          <w:rFonts w:hint="eastAsia" w:ascii="仿宋_GB2312" w:hAnsi="ˎ̥" w:eastAsia="仿宋_GB2312"/>
          <w:sz w:val="32"/>
          <w:szCs w:val="32"/>
        </w:rPr>
        <w:t>万元，</w:t>
      </w:r>
      <w:r>
        <w:rPr>
          <w:rFonts w:hint="eastAsia" w:ascii="仿宋_GB2312" w:hAnsi="ˎ̥" w:eastAsia="仿宋_GB2312"/>
          <w:sz w:val="32"/>
          <w:szCs w:val="32"/>
          <w:lang w:eastAsia="zh-CN"/>
        </w:rPr>
        <w:t>减少</w:t>
      </w:r>
      <w:r>
        <w:rPr>
          <w:rFonts w:hint="eastAsia" w:ascii="仿宋_GB2312" w:hAnsi="ˎ̥" w:eastAsia="仿宋_GB2312"/>
          <w:sz w:val="32"/>
          <w:szCs w:val="32"/>
          <w:lang w:val="en-US" w:eastAsia="zh-CN"/>
        </w:rPr>
        <w:t>10.32</w:t>
      </w:r>
      <w:r>
        <w:rPr>
          <w:rFonts w:hint="eastAsia" w:ascii="仿宋_GB2312" w:hAnsi="ˎ̥" w:eastAsia="仿宋_GB2312"/>
          <w:sz w:val="32"/>
          <w:szCs w:val="32"/>
        </w:rPr>
        <w:t>%。主要原因：</w:t>
      </w:r>
      <w:r>
        <w:rPr>
          <w:rFonts w:hint="eastAsia" w:ascii="仿宋_GB2312" w:hAnsi="ˎ̥" w:eastAsia="仿宋_GB2312"/>
          <w:color w:val="000000" w:themeColor="text1"/>
          <w:sz w:val="32"/>
          <w:szCs w:val="32"/>
          <w14:textFill>
            <w14:solidFill>
              <w14:schemeClr w14:val="tx1"/>
            </w14:solidFill>
          </w14:textFill>
        </w:rPr>
        <w:t>较去年</w:t>
      </w:r>
      <w:r>
        <w:rPr>
          <w:rFonts w:hint="eastAsia" w:ascii="仿宋_GB2312" w:hAnsi="ˎ̥" w:eastAsia="仿宋_GB2312"/>
          <w:color w:val="000000" w:themeColor="text1"/>
          <w:sz w:val="32"/>
          <w:szCs w:val="32"/>
          <w:lang w:eastAsia="zh-CN"/>
          <w14:textFill>
            <w14:solidFill>
              <w14:schemeClr w14:val="tx1"/>
            </w14:solidFill>
          </w14:textFill>
        </w:rPr>
        <w:t>项目减少</w:t>
      </w:r>
      <w:r>
        <w:rPr>
          <w:rFonts w:hint="eastAsia" w:ascii="仿宋_GB2312" w:hAnsi="ˎ̥" w:eastAsia="仿宋_GB2312"/>
          <w:color w:val="000000" w:themeColor="text1"/>
          <w:sz w:val="32"/>
          <w:szCs w:val="32"/>
          <w14:textFill>
            <w14:solidFill>
              <w14:schemeClr w14:val="tx1"/>
            </w14:solidFill>
          </w14:textFill>
        </w:rPr>
        <w:t>导致资金</w:t>
      </w:r>
      <w:r>
        <w:rPr>
          <w:rFonts w:hint="eastAsia" w:ascii="仿宋_GB2312" w:hAnsi="ˎ̥" w:eastAsia="仿宋_GB2312"/>
          <w:color w:val="000000" w:themeColor="text1"/>
          <w:sz w:val="32"/>
          <w:szCs w:val="32"/>
          <w:lang w:eastAsia="zh-CN"/>
          <w14:textFill>
            <w14:solidFill>
              <w14:schemeClr w14:val="tx1"/>
            </w14:solidFill>
          </w14:textFill>
        </w:rPr>
        <w:t>减少。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w:t>
      </w:r>
      <w:r>
        <w:rPr>
          <w:rFonts w:hint="eastAsia" w:ascii="仿宋_GB2312" w:hAnsi="ˎ̥" w:eastAsia="仿宋_GB2312"/>
          <w:sz w:val="32"/>
          <w:szCs w:val="32"/>
        </w:rPr>
        <w:t>入</w:t>
      </w:r>
      <w:r>
        <w:rPr>
          <w:rFonts w:hint="eastAsia" w:ascii="仿宋_GB2312" w:hAnsi="ˎ̥" w:eastAsia="仿宋_GB2312"/>
          <w:sz w:val="32"/>
          <w:szCs w:val="32"/>
          <w:lang w:val="en-US" w:eastAsia="zh-CN"/>
        </w:rPr>
        <w:t>161.1</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ˎ̥" w:eastAsia="仿宋_GB2312"/>
          <w:sz w:val="32"/>
          <w:szCs w:val="32"/>
          <w:lang w:val="en-US" w:eastAsia="zh-CN"/>
        </w:rPr>
        <w:t>161.1</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sz w:val="32"/>
          <w:szCs w:val="32"/>
          <w:lang w:val="en-US" w:eastAsia="zh-CN"/>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eastAsia" w:ascii="仿宋_GB2312" w:hAnsi="ˎ̥" w:eastAsia="仿宋_GB2312"/>
          <w:sz w:val="32"/>
          <w:szCs w:val="32"/>
          <w:lang w:val="en-US" w:eastAsia="zh-CN"/>
        </w:rPr>
        <w:t>161.1</w:t>
      </w:r>
      <w:r>
        <w:rPr>
          <w:rFonts w:hint="eastAsia" w:ascii="仿宋_GB2312" w:hAnsi="ˎ̥" w:eastAsia="仿宋_GB2312"/>
          <w:sz w:val="32"/>
          <w:szCs w:val="32"/>
        </w:rPr>
        <w:t>万元，其中：财政拨款收入</w:t>
      </w:r>
      <w:r>
        <w:rPr>
          <w:rFonts w:hint="eastAsia" w:ascii="仿宋_GB2312" w:hAnsi="ˎ̥" w:eastAsia="仿宋_GB2312"/>
          <w:sz w:val="32"/>
          <w:szCs w:val="32"/>
          <w:lang w:val="en-US" w:eastAsia="zh-CN"/>
        </w:rPr>
        <w:t>161.1</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ˎ̥" w:eastAsia="仿宋_GB2312"/>
          <w:sz w:val="32"/>
          <w:szCs w:val="32"/>
          <w:lang w:val="en-US" w:eastAsia="zh-CN"/>
        </w:rPr>
        <w:t>161.1</w:t>
      </w:r>
      <w:r>
        <w:rPr>
          <w:rFonts w:hint="eastAsia" w:ascii="仿宋_GB2312" w:hAnsi="ˎ̥" w:eastAsia="仿宋_GB2312"/>
          <w:sz w:val="32"/>
          <w:szCs w:val="32"/>
        </w:rPr>
        <w:t>万元，其中：基本支出</w:t>
      </w:r>
      <w:r>
        <w:rPr>
          <w:rFonts w:hint="eastAsia" w:ascii="仿宋_GB2312" w:hAnsi="ˎ̥" w:eastAsia="仿宋_GB2312"/>
          <w:sz w:val="32"/>
          <w:szCs w:val="32"/>
          <w:lang w:val="en-US" w:eastAsia="zh-CN"/>
        </w:rPr>
        <w:t>150.87</w:t>
      </w:r>
      <w:r>
        <w:rPr>
          <w:rFonts w:hint="eastAsia" w:ascii="仿宋_GB2312" w:hAnsi="ˎ̥" w:eastAsia="仿宋_GB2312"/>
          <w:sz w:val="32"/>
          <w:szCs w:val="32"/>
        </w:rPr>
        <w:t>万元，占</w:t>
      </w:r>
      <w:r>
        <w:rPr>
          <w:rFonts w:hint="eastAsia" w:ascii="仿宋_GB2312" w:hAnsi="ˎ̥" w:eastAsia="仿宋_GB2312"/>
          <w:sz w:val="32"/>
          <w:szCs w:val="32"/>
          <w:lang w:val="en-US" w:eastAsia="zh-CN"/>
        </w:rPr>
        <w:t>93.64</w:t>
      </w:r>
      <w:r>
        <w:rPr>
          <w:rFonts w:hint="eastAsia" w:ascii="仿宋_GB2312" w:hAnsi="ˎ̥" w:eastAsia="仿宋_GB2312"/>
          <w:sz w:val="32"/>
          <w:szCs w:val="32"/>
        </w:rPr>
        <w:t>%；项目支出</w:t>
      </w:r>
      <w:r>
        <w:rPr>
          <w:rFonts w:hint="eastAsia" w:ascii="仿宋_GB2312" w:hAnsi="ˎ̥" w:eastAsia="仿宋_GB2312"/>
          <w:sz w:val="32"/>
          <w:szCs w:val="32"/>
          <w:lang w:val="en-US" w:eastAsia="zh-CN"/>
        </w:rPr>
        <w:t>10.23</w:t>
      </w:r>
      <w:r>
        <w:rPr>
          <w:rFonts w:hint="eastAsia" w:ascii="仿宋_GB2312" w:hAnsi="ˎ̥" w:eastAsia="仿宋_GB2312"/>
          <w:sz w:val="32"/>
          <w:szCs w:val="32"/>
        </w:rPr>
        <w:t>万元，占</w:t>
      </w:r>
      <w:r>
        <w:rPr>
          <w:rFonts w:hint="eastAsia" w:ascii="仿宋_GB2312" w:hAnsi="ˎ̥" w:eastAsia="仿宋_GB2312"/>
          <w:sz w:val="32"/>
          <w:szCs w:val="32"/>
          <w:lang w:val="en-US" w:eastAsia="zh-CN"/>
        </w:rPr>
        <w:t>6.35</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eastAsia" w:ascii="仿宋_GB2312" w:hAnsi="ˎ̥" w:eastAsia="仿宋_GB2312"/>
          <w:sz w:val="32"/>
          <w:szCs w:val="32"/>
          <w:lang w:val="en-US" w:eastAsia="zh-CN"/>
        </w:rPr>
        <w:t>161.1</w:t>
      </w:r>
      <w:r>
        <w:rPr>
          <w:rFonts w:hint="eastAsia" w:ascii="仿宋_GB2312" w:hAnsi="ˎ̥" w:eastAsia="仿宋_GB2312"/>
          <w:sz w:val="32"/>
          <w:szCs w:val="32"/>
        </w:rPr>
        <w:t>万元，支出</w:t>
      </w:r>
      <w:r>
        <w:rPr>
          <w:rFonts w:hint="eastAsia" w:ascii="仿宋_GB2312" w:hAnsi="ˎ̥" w:eastAsia="仿宋_GB2312"/>
          <w:sz w:val="32"/>
          <w:szCs w:val="32"/>
          <w:lang w:val="en-US" w:eastAsia="zh-CN"/>
        </w:rPr>
        <w:t>161.1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w:t>
      </w:r>
      <w:r>
        <w:rPr>
          <w:rFonts w:hint="eastAsia" w:ascii="仿宋_GB2312" w:hAnsi="ˎ̥" w:eastAsia="仿宋_GB2312"/>
          <w:sz w:val="32"/>
          <w:szCs w:val="32"/>
          <w:lang w:val="en-US" w:eastAsia="zh-CN"/>
        </w:rPr>
        <w:t>16.63</w:t>
      </w:r>
      <w:r>
        <w:rPr>
          <w:rFonts w:hint="eastAsia" w:ascii="仿宋_GB2312" w:hAnsi="ˎ̥" w:eastAsia="仿宋_GB2312"/>
          <w:sz w:val="32"/>
          <w:szCs w:val="32"/>
        </w:rPr>
        <w:t>万元，</w:t>
      </w:r>
      <w:r>
        <w:rPr>
          <w:rFonts w:hint="eastAsia" w:ascii="仿宋_GB2312" w:hAnsi="ˎ̥" w:eastAsia="仿宋_GB2312"/>
          <w:sz w:val="32"/>
          <w:szCs w:val="32"/>
          <w:lang w:eastAsia="zh-CN"/>
        </w:rPr>
        <w:t>减少</w:t>
      </w:r>
      <w:r>
        <w:rPr>
          <w:rFonts w:hint="eastAsia" w:ascii="仿宋_GB2312" w:hAnsi="ˎ̥" w:eastAsia="仿宋_GB2312"/>
          <w:sz w:val="32"/>
          <w:szCs w:val="32"/>
          <w:lang w:val="en-US" w:eastAsia="zh-CN"/>
        </w:rPr>
        <w:t>10.32</w:t>
      </w:r>
      <w:r>
        <w:rPr>
          <w:rFonts w:hint="eastAsia" w:ascii="仿宋_GB2312" w:hAnsi="ˎ̥" w:eastAsia="仿宋_GB2312"/>
          <w:sz w:val="32"/>
          <w:szCs w:val="32"/>
        </w:rPr>
        <w:t>%，</w:t>
      </w:r>
      <w:r>
        <w:rPr>
          <w:rFonts w:hint="eastAsia" w:ascii="仿宋_GB2312" w:hAnsi="ˎ̥" w:eastAsia="仿宋_GB2312"/>
          <w:color w:val="000000" w:themeColor="text1"/>
          <w:sz w:val="32"/>
          <w:szCs w:val="32"/>
          <w14:textFill>
            <w14:solidFill>
              <w14:schemeClr w14:val="tx1"/>
            </w14:solidFill>
          </w14:textFill>
        </w:rPr>
        <w:t>支出主要原因：较去年</w:t>
      </w:r>
      <w:r>
        <w:rPr>
          <w:rFonts w:hint="eastAsia" w:ascii="仿宋_GB2312" w:hAnsi="ˎ̥" w:eastAsia="仿宋_GB2312"/>
          <w:color w:val="000000" w:themeColor="text1"/>
          <w:sz w:val="32"/>
          <w:szCs w:val="32"/>
          <w:lang w:eastAsia="zh-CN"/>
          <w14:textFill>
            <w14:solidFill>
              <w14:schemeClr w14:val="tx1"/>
            </w14:solidFill>
          </w14:textFill>
        </w:rPr>
        <w:t>项目减少</w:t>
      </w:r>
      <w:r>
        <w:rPr>
          <w:rFonts w:hint="eastAsia" w:ascii="仿宋_GB2312" w:hAnsi="ˎ̥" w:eastAsia="仿宋_GB2312"/>
          <w:color w:val="000000" w:themeColor="text1"/>
          <w:sz w:val="32"/>
          <w:szCs w:val="32"/>
          <w14:textFill>
            <w14:solidFill>
              <w14:schemeClr w14:val="tx1"/>
            </w14:solidFill>
          </w14:textFill>
        </w:rPr>
        <w:t>导致资金</w:t>
      </w:r>
      <w:r>
        <w:rPr>
          <w:rFonts w:hint="eastAsia" w:ascii="仿宋_GB2312" w:hAnsi="ˎ̥" w:eastAsia="仿宋_GB2312"/>
          <w:color w:val="000000" w:themeColor="text1"/>
          <w:sz w:val="32"/>
          <w:szCs w:val="32"/>
          <w:lang w:eastAsia="zh-CN"/>
          <w14:textFill>
            <w14:solidFill>
              <w14:schemeClr w14:val="tx1"/>
            </w14:solidFill>
          </w14:textFill>
        </w:rPr>
        <w:t>减少。</w:t>
      </w:r>
      <w:r>
        <w:rPr>
          <w:rFonts w:hint="eastAsia" w:ascii="仿宋_GB2312" w:hAnsi="ˎ̥" w:eastAsia="仿宋_GB2312"/>
          <w:sz w:val="32"/>
          <w:szCs w:val="32"/>
        </w:rPr>
        <w:t>财政拨款年初结转结余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3694_WPSOffice_Level2"/>
      <w:bookmarkStart w:id="78" w:name="_Toc21737_WPSOffice_Level2"/>
      <w:bookmarkStart w:id="79" w:name="_Toc23005_WPSOffice_Level2"/>
      <w:bookmarkStart w:id="80" w:name="_Toc19665_WPSOffice_Level2"/>
      <w:bookmarkStart w:id="81" w:name="_Toc9989_WPSOffice_Level2"/>
      <w:bookmarkStart w:id="82" w:name="_Toc17398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161.1</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减少16.63</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减少</w:t>
      </w:r>
      <w:r>
        <w:rPr>
          <w:rFonts w:hint="eastAsia" w:ascii="仿宋_GB2312" w:hAnsi="ˎ̥" w:eastAsia="仿宋_GB2312"/>
          <w:color w:val="000000" w:themeColor="text1"/>
          <w:sz w:val="32"/>
          <w:szCs w:val="32"/>
          <w:lang w:val="en-US" w:eastAsia="zh-CN"/>
          <w14:textFill>
            <w14:solidFill>
              <w14:schemeClr w14:val="tx1"/>
            </w14:solidFill>
          </w14:textFill>
        </w:rPr>
        <w:t xml:space="preserve">10.32 </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bookmarkStart w:id="83" w:name="_Toc18793_WPSOffice_Level2"/>
      <w:bookmarkStart w:id="84" w:name="_Toc23864_WPSOffice_Level2"/>
      <w:bookmarkStart w:id="85" w:name="_Toc19535_WPSOffice_Level2"/>
      <w:bookmarkStart w:id="86" w:name="_Toc2711_WPSOffice_Level2"/>
      <w:bookmarkStart w:id="87" w:name="_Toc19075_WPSOffice_Level2"/>
      <w:bookmarkStart w:id="88" w:name="_Toc27767_WPSOffice_Level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w:t>
      </w:r>
      <w:r>
        <w:rPr>
          <w:rFonts w:hint="eastAsia" w:ascii="仿宋_GB2312" w:hAnsi="ˎ̥" w:eastAsia="仿宋_GB2312"/>
          <w:sz w:val="32"/>
          <w:szCs w:val="32"/>
          <w:lang w:val="en-US"/>
        </w:rPr>
        <w:t>出</w:t>
      </w:r>
      <w:r>
        <w:rPr>
          <w:rFonts w:hint="eastAsia" w:ascii="仿宋_GB2312" w:hAnsi="ˎ̥" w:eastAsia="仿宋_GB2312"/>
          <w:sz w:val="32"/>
          <w:szCs w:val="32"/>
          <w:lang w:val="en-US" w:eastAsia="zh-CN"/>
        </w:rPr>
        <w:t>161.1</w:t>
      </w:r>
      <w:r>
        <w:rPr>
          <w:rFonts w:hint="eastAsia" w:ascii="仿宋_GB2312" w:hAnsi="ˎ̥" w:eastAsia="仿宋_GB2312"/>
          <w:sz w:val="32"/>
          <w:szCs w:val="32"/>
        </w:rPr>
        <w:t>万元，主要用于以下方面：</w:t>
      </w:r>
      <w:r>
        <w:rPr>
          <w:rFonts w:hint="eastAsia" w:ascii="仿宋_GB2312" w:hAnsi="ˎ̥" w:eastAsia="仿宋_GB2312"/>
          <w:sz w:val="32"/>
          <w:szCs w:val="32"/>
          <w:lang w:eastAsia="zh-CN"/>
        </w:rPr>
        <w:t>一般</w:t>
      </w:r>
      <w:r>
        <w:rPr>
          <w:rFonts w:hint="eastAsia" w:ascii="仿宋_GB2312" w:hAnsi="ˎ̥" w:eastAsia="仿宋_GB2312"/>
          <w:sz w:val="32"/>
          <w:szCs w:val="32"/>
          <w:lang w:val="en-US" w:eastAsia="zh-CN"/>
        </w:rPr>
        <w:t>公共服务支出125.61元，</w:t>
      </w:r>
      <w:r>
        <w:rPr>
          <w:rFonts w:hint="eastAsia" w:ascii="仿宋_GB2312" w:hAnsi="ˎ̥" w:eastAsia="仿宋_GB2312"/>
          <w:sz w:val="32"/>
          <w:szCs w:val="32"/>
          <w:lang w:val="en-US"/>
        </w:rPr>
        <w:t>占</w:t>
      </w:r>
      <w:r>
        <w:rPr>
          <w:rFonts w:hint="eastAsia" w:ascii="仿宋_GB2312" w:hAnsi="ˎ̥" w:eastAsia="仿宋_GB2312"/>
          <w:sz w:val="32"/>
          <w:szCs w:val="32"/>
          <w:lang w:val="en-US" w:eastAsia="zh-CN"/>
        </w:rPr>
        <w:t>77.9</w:t>
      </w:r>
      <w:r>
        <w:rPr>
          <w:rFonts w:hint="eastAsia" w:ascii="仿宋_GB2312" w:hAnsi="ˎ̥" w:eastAsia="仿宋_GB2312"/>
          <w:sz w:val="32"/>
          <w:szCs w:val="32"/>
          <w:lang w:val="en-US"/>
        </w:rPr>
        <w:t>%</w:t>
      </w:r>
      <w:r>
        <w:rPr>
          <w:rFonts w:hint="eastAsia" w:ascii="仿宋_GB2312" w:hAnsi="ˎ̥" w:eastAsia="仿宋_GB2312"/>
          <w:sz w:val="32"/>
          <w:szCs w:val="32"/>
          <w:lang w:val="en-US" w:eastAsia="zh-CN"/>
        </w:rPr>
        <w:t xml:space="preserve"> ；</w:t>
      </w:r>
      <w:r>
        <w:rPr>
          <w:rFonts w:hint="eastAsia" w:ascii="仿宋_GB2312" w:hAnsi="ˎ̥" w:eastAsia="仿宋_GB2312"/>
          <w:b/>
          <w:sz w:val="32"/>
          <w:szCs w:val="32"/>
        </w:rPr>
        <w:t>卫生健康支出（类）</w:t>
      </w:r>
      <w:r>
        <w:rPr>
          <w:rFonts w:hint="eastAsia" w:ascii="仿宋_GB2312" w:hAnsi="ˎ̥" w:eastAsia="仿宋_GB2312"/>
          <w:sz w:val="32"/>
          <w:szCs w:val="32"/>
        </w:rPr>
        <w:t>支出</w:t>
      </w:r>
      <w:r>
        <w:rPr>
          <w:rFonts w:hint="eastAsia" w:ascii="仿宋_GB2312" w:hAnsi="ˎ̥" w:eastAsia="仿宋_GB2312"/>
          <w:sz w:val="32"/>
          <w:szCs w:val="32"/>
          <w:lang w:val="en-US" w:eastAsia="zh-CN"/>
        </w:rPr>
        <w:t>8.97</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5.56</w:t>
      </w:r>
      <w:r>
        <w:rPr>
          <w:rFonts w:hint="eastAsia" w:ascii="仿宋_GB2312" w:hAnsi="ˎ̥" w:eastAsia="仿宋_GB2312"/>
          <w:sz w:val="32"/>
          <w:szCs w:val="32"/>
          <w:lang w:val="en-US"/>
        </w:rPr>
        <w:t>%</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14.79万元，占9.18</w:t>
      </w:r>
      <w:r>
        <w:rPr>
          <w:rFonts w:hint="eastAsia" w:ascii="仿宋_GB2312" w:hAnsi="ˎ̥" w:eastAsia="仿宋_GB2312"/>
          <w:sz w:val="32"/>
          <w:szCs w:val="32"/>
        </w:rPr>
        <w:t>%；</w:t>
      </w:r>
      <w:r>
        <w:rPr>
          <w:rFonts w:hint="eastAsia" w:ascii="仿宋_GB2312" w:hAnsi="ˎ̥" w:eastAsia="仿宋_GB2312"/>
          <w:b/>
          <w:bCs/>
          <w:sz w:val="32"/>
          <w:szCs w:val="32"/>
        </w:rPr>
        <w:t>住房保障</w:t>
      </w:r>
      <w:r>
        <w:rPr>
          <w:rFonts w:hint="eastAsia" w:ascii="仿宋_GB2312" w:hAnsi="ˎ̥" w:eastAsia="仿宋_GB2312"/>
          <w:b/>
          <w:bCs/>
          <w:sz w:val="32"/>
          <w:szCs w:val="32"/>
          <w:lang w:eastAsia="zh-CN"/>
        </w:rPr>
        <w:t>（</w:t>
      </w:r>
      <w:r>
        <w:rPr>
          <w:rFonts w:hint="eastAsia" w:ascii="仿宋_GB2312" w:hAnsi="ˎ̥" w:eastAsia="仿宋_GB2312"/>
          <w:b/>
          <w:bCs/>
          <w:sz w:val="32"/>
          <w:szCs w:val="32"/>
          <w:lang w:val="en-US" w:eastAsia="zh-CN"/>
        </w:rPr>
        <w:t>类</w:t>
      </w:r>
      <w:r>
        <w:rPr>
          <w:rFonts w:hint="eastAsia" w:ascii="仿宋_GB2312" w:hAnsi="ˎ̥" w:eastAsia="仿宋_GB2312"/>
          <w:b/>
          <w:bCs/>
          <w:sz w:val="32"/>
          <w:szCs w:val="32"/>
          <w:lang w:eastAsia="zh-CN"/>
        </w:rPr>
        <w:t>）</w:t>
      </w:r>
      <w:r>
        <w:rPr>
          <w:rFonts w:hint="eastAsia" w:ascii="仿宋_GB2312" w:hAnsi="ˎ̥" w:eastAsia="仿宋_GB2312"/>
          <w:sz w:val="32"/>
          <w:szCs w:val="32"/>
        </w:rPr>
        <w:t>支出</w:t>
      </w:r>
      <w:r>
        <w:rPr>
          <w:rFonts w:hint="eastAsia" w:ascii="仿宋_GB2312" w:hAnsi="ˎ̥" w:eastAsia="仿宋_GB2312"/>
          <w:sz w:val="32"/>
          <w:szCs w:val="32"/>
          <w:lang w:val="en-US" w:eastAsia="zh-CN"/>
        </w:rPr>
        <w:t>11.73万元，占7.28%</w:t>
      </w:r>
      <w:bookmarkStart w:id="89" w:name="_Toc29364_WPSOffice_Level2"/>
      <w:bookmarkStart w:id="90" w:name="_Toc9502_WPSOffice_Level2"/>
      <w:bookmarkStart w:id="91" w:name="_Toc15415_WPSOffice_Level2"/>
      <w:bookmarkStart w:id="92" w:name="_Toc25136_WPSOffice_Level2"/>
      <w:bookmarkStart w:id="93" w:name="_Toc22318_WPSOffice_Level2"/>
      <w:bookmarkStart w:id="94" w:name="_Toc21701_WPSOffice_Level2"/>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161.1</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161.1</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bCs/>
          <w:sz w:val="32"/>
          <w:szCs w:val="32"/>
          <w:lang w:val="en-US" w:eastAsia="zh-CN"/>
        </w:rPr>
      </w:pPr>
      <w:r>
        <w:rPr>
          <w:rFonts w:hint="eastAsia" w:ascii="仿宋_GB2312" w:hAnsi="ˎ̥" w:eastAsia="仿宋_GB2312"/>
          <w:b/>
          <w:bCs/>
          <w:sz w:val="32"/>
          <w:szCs w:val="32"/>
          <w:lang w:val="en-US" w:eastAsia="zh-CN"/>
        </w:rPr>
        <w:t>1.</w:t>
      </w:r>
      <w:r>
        <w:rPr>
          <w:rFonts w:hint="eastAsia" w:ascii="仿宋_GB2312" w:hAnsi="ˎ̥" w:eastAsia="仿宋_GB2312"/>
          <w:b/>
          <w:bCs/>
          <w:sz w:val="32"/>
          <w:szCs w:val="32"/>
          <w:lang w:eastAsia="zh-CN"/>
        </w:rPr>
        <w:t>一般</w:t>
      </w:r>
      <w:r>
        <w:rPr>
          <w:rFonts w:hint="eastAsia" w:ascii="仿宋_GB2312" w:hAnsi="ˎ̥" w:eastAsia="仿宋_GB2312"/>
          <w:b/>
          <w:bCs/>
          <w:sz w:val="32"/>
          <w:szCs w:val="32"/>
          <w:lang w:val="en-US" w:eastAsia="zh-CN"/>
        </w:rPr>
        <w:t>公共服务支出（项）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年初预算为161.1万元，</w:t>
      </w:r>
      <w:r>
        <w:rPr>
          <w:rFonts w:hint="eastAsia" w:ascii="仿宋_GB2312" w:hAnsi="ˎ̥" w:eastAsia="仿宋_GB2312"/>
          <w:sz w:val="32"/>
          <w:szCs w:val="32"/>
        </w:rPr>
        <w:t>支出决算为</w:t>
      </w:r>
      <w:r>
        <w:rPr>
          <w:rFonts w:hint="eastAsia" w:ascii="仿宋_GB2312" w:hAnsi="ˎ̥" w:eastAsia="仿宋_GB2312"/>
          <w:sz w:val="32"/>
          <w:szCs w:val="32"/>
          <w:lang w:val="en-US" w:eastAsia="zh-CN"/>
        </w:rPr>
        <w:t>161.1</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2.</w:t>
      </w:r>
      <w:r>
        <w:rPr>
          <w:rFonts w:hint="eastAsia" w:ascii="仿宋_GB2312" w:hAnsi="ˎ̥" w:eastAsia="仿宋_GB2312"/>
          <w:b/>
          <w:sz w:val="32"/>
          <w:szCs w:val="32"/>
        </w:rPr>
        <w:t>社会保障和就业支出（类）行政事业单位养老支出（款）机关事业单位基本养老保险缴费支出 （项）。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14.79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14.79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3</w:t>
      </w:r>
      <w:r>
        <w:rPr>
          <w:rFonts w:hint="eastAsia" w:ascii="仿宋_GB2312" w:hAnsi="ˎ̥" w:eastAsia="仿宋_GB2312"/>
          <w:sz w:val="32"/>
          <w:szCs w:val="32"/>
        </w:rPr>
        <w:t>.</w:t>
      </w:r>
      <w:r>
        <w:rPr>
          <w:rFonts w:hint="eastAsia" w:ascii="仿宋_GB2312" w:hAnsi="ˎ̥" w:eastAsia="仿宋_GB2312"/>
          <w:b/>
          <w:sz w:val="32"/>
          <w:szCs w:val="32"/>
        </w:rPr>
        <w:t>卫生健康支出（类）行政事业单位医疗（款）行政单位医疗（项）。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8.97</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8.97</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4.</w:t>
      </w:r>
      <w:r>
        <w:rPr>
          <w:rFonts w:hint="eastAsia" w:ascii="仿宋_GB2312" w:hAnsi="ˎ̥" w:eastAsia="仿宋_GB2312"/>
          <w:b/>
          <w:sz w:val="32"/>
          <w:szCs w:val="32"/>
        </w:rPr>
        <w:t>住房保障支出 （类）住房改革支出（款）住房公积金（项）。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11.73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11.73</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eastAsia="zh-CN"/>
        </w:rPr>
        <w:t>150.87</w:t>
      </w:r>
      <w:r>
        <w:rPr>
          <w:rFonts w:hint="eastAsia" w:ascii="仿宋_GB2312" w:hAnsi="ˎ̥" w:eastAsia="仿宋_GB2312"/>
          <w:sz w:val="32"/>
          <w:szCs w:val="32"/>
        </w:rPr>
        <w:t>万元，其中：人员经费</w:t>
      </w:r>
      <w:r>
        <w:rPr>
          <w:rFonts w:hint="eastAsia" w:ascii="仿宋_GB2312" w:hAnsi="ˎ̥" w:eastAsia="仿宋_GB2312"/>
          <w:sz w:val="32"/>
          <w:szCs w:val="32"/>
          <w:lang w:val="en-US" w:eastAsia="zh-CN"/>
        </w:rPr>
        <w:t>142.85</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sz w:val="32"/>
          <w:szCs w:val="32"/>
          <w:lang w:val="en-US" w:eastAsia="zh-CN"/>
        </w:rPr>
        <w:t>8.02</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r>
        <w:rPr>
          <w:rFonts w:hint="eastAsia" w:ascii="仿宋_GB2312" w:hAnsi="ˎ̥" w:eastAsia="仿宋_GB2312"/>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万元，占本年支出合计</w:t>
      </w:r>
      <w:r>
        <w:rPr>
          <w:rFonts w:hint="eastAsia" w:ascii="仿宋_GB2312" w:hAnsi="ˎ̥" w:eastAsia="仿宋_GB2312"/>
          <w:sz w:val="32"/>
          <w:szCs w:val="32"/>
          <w:lang w:val="en-US"/>
        </w:rPr>
        <w:t>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0.00</w:t>
      </w:r>
      <w:r>
        <w:rPr>
          <w:rFonts w:hint="eastAsia" w:ascii="仿宋_GB2312" w:hAnsi="ˎ̥" w:eastAsia="仿宋_GB2312"/>
          <w:sz w:val="32"/>
          <w:szCs w:val="32"/>
          <w:lang w:val="en-US"/>
        </w:rPr>
        <w:t>万</w:t>
      </w:r>
      <w:r>
        <w:rPr>
          <w:rFonts w:hint="eastAsia" w:ascii="仿宋_GB2312" w:hAnsi="ˎ̥"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lang w:val="en-US"/>
        </w:rPr>
        <w:t>年度政府性基金预算财政拨款支出年初预算为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万元，支出决算为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lang w:val="en-US"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w:t>
      </w:r>
      <w:r>
        <w:rPr>
          <w:rFonts w:hint="eastAsia" w:ascii="仿宋_GB2312" w:hAnsi="ˎ̥" w:eastAsia="仿宋_GB2312"/>
          <w:sz w:val="32"/>
          <w:szCs w:val="32"/>
          <w:lang w:val="en-US"/>
        </w:rPr>
        <w:t>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w:t>
      </w:r>
      <w:r>
        <w:rPr>
          <w:rFonts w:hint="eastAsia" w:ascii="仿宋_GB2312" w:hAnsi="ˎ̥" w:eastAsia="仿宋_GB2312"/>
          <w:sz w:val="32"/>
          <w:szCs w:val="32"/>
          <w:lang w:val="en-US"/>
        </w:rPr>
        <w:t>算为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万元，支出决算为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rPr>
          <w:rFonts w:hint="eastAsia" w:ascii="仿宋_GB2312" w:hAnsi="ˎ̥" w:eastAsia="仿宋_GB2312"/>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w:t>
      </w:r>
      <w:r>
        <w:rPr>
          <w:rFonts w:hint="eastAsia" w:ascii="仿宋_GB2312" w:hAnsi="ˎ̥" w:eastAsia="仿宋_GB2312"/>
          <w:sz w:val="32"/>
          <w:szCs w:val="32"/>
          <w:lang w:val="en-US"/>
        </w:rPr>
        <w:t>预算为</w:t>
      </w:r>
      <w:r>
        <w:rPr>
          <w:rFonts w:hint="eastAsia" w:ascii="仿宋_GB2312" w:hAnsi="ˎ̥" w:eastAsia="仿宋_GB2312"/>
          <w:sz w:val="32"/>
          <w:szCs w:val="32"/>
          <w:lang w:val="en-US" w:eastAsia="zh-CN"/>
        </w:rPr>
        <w:t>0.5</w:t>
      </w:r>
      <w:r>
        <w:rPr>
          <w:rFonts w:hint="eastAsia" w:ascii="仿宋_GB2312" w:hAnsi="ˎ̥" w:eastAsia="仿宋_GB2312"/>
          <w:sz w:val="32"/>
          <w:szCs w:val="32"/>
          <w:lang w:val="en-US"/>
        </w:rPr>
        <w:t>万元，支出决算为</w:t>
      </w:r>
      <w:r>
        <w:rPr>
          <w:rFonts w:hint="eastAsia" w:ascii="仿宋_GB2312" w:hAnsi="ˎ̥" w:eastAsia="仿宋_GB2312"/>
          <w:sz w:val="32"/>
          <w:szCs w:val="32"/>
          <w:lang w:val="en-US" w:eastAsia="zh-CN"/>
        </w:rPr>
        <w:t xml:space="preserve"> 0.5</w:t>
      </w:r>
      <w:r>
        <w:rPr>
          <w:rFonts w:hint="eastAsia" w:ascii="仿宋_GB2312" w:hAnsi="ˎ̥" w:eastAsia="仿宋_GB2312"/>
          <w:sz w:val="32"/>
          <w:szCs w:val="32"/>
          <w:lang w:val="en-US"/>
        </w:rPr>
        <w:t>万元，完成预算的</w:t>
      </w:r>
      <w:r>
        <w:rPr>
          <w:rFonts w:hint="eastAsia" w:ascii="仿宋_GB2312" w:hAnsi="ˎ̥" w:eastAsia="仿宋_GB2312"/>
          <w:sz w:val="32"/>
          <w:szCs w:val="32"/>
          <w:lang w:val="en-US" w:eastAsia="zh-CN"/>
        </w:rPr>
        <w:t>100</w:t>
      </w:r>
      <w:r>
        <w:rPr>
          <w:rFonts w:hint="eastAsia" w:ascii="仿宋_GB2312" w:hAnsi="ˎ̥" w:eastAsia="仿宋_GB2312"/>
          <w:sz w:val="32"/>
          <w:szCs w:val="32"/>
          <w:lang w:val="en-US"/>
        </w:rPr>
        <w:t>%，</w:t>
      </w:r>
      <w:r>
        <w:rPr>
          <w:rFonts w:hint="eastAsia" w:ascii="仿宋_GB2312" w:hAnsi="ˎ̥" w:eastAsia="仿宋_GB2312"/>
          <w:color w:val="000000" w:themeColor="text1"/>
          <w:sz w:val="32"/>
          <w:szCs w:val="32"/>
          <w:lang w:val="en-US"/>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lang w:val="en-US"/>
          <w14:textFill>
            <w14:solidFill>
              <w14:schemeClr w14:val="tx1"/>
            </w14:solidFill>
          </w14:textFill>
        </w:rPr>
        <w:t>年度相比，“三公”经费支出</w:t>
      </w:r>
      <w:r>
        <w:rPr>
          <w:rFonts w:hint="eastAsia" w:ascii="仿宋_GB2312" w:hAnsi="ˎ̥" w:eastAsia="仿宋_GB2312"/>
          <w:color w:val="000000" w:themeColor="text1"/>
          <w:sz w:val="32"/>
          <w:szCs w:val="32"/>
          <w:lang w:val="en-US" w:eastAsia="zh-CN"/>
          <w14:textFill>
            <w14:solidFill>
              <w14:schemeClr w14:val="tx1"/>
            </w14:solidFill>
          </w14:textFill>
        </w:rPr>
        <w:t>减少0.44</w:t>
      </w:r>
      <w:r>
        <w:rPr>
          <w:rFonts w:hint="eastAsia" w:ascii="仿宋_GB2312" w:hAnsi="ˎ̥" w:eastAsia="仿宋_GB2312"/>
          <w:color w:val="000000" w:themeColor="text1"/>
          <w:sz w:val="32"/>
          <w:szCs w:val="32"/>
          <w:lang w:val="en-US"/>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减少88</w:t>
      </w:r>
      <w:r>
        <w:rPr>
          <w:rFonts w:hint="eastAsia"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sz w:val="32"/>
          <w:szCs w:val="32"/>
          <w:lang w:val="en-US"/>
        </w:rPr>
        <w:t>主要原因是公务用车运行费</w:t>
      </w:r>
      <w:r>
        <w:rPr>
          <w:rFonts w:hint="eastAsia" w:ascii="仿宋_GB2312" w:hAnsi="ˎ̥" w:eastAsia="仿宋_GB2312"/>
          <w:sz w:val="32"/>
          <w:szCs w:val="32"/>
          <w:lang w:val="en-US" w:eastAsia="zh-CN"/>
        </w:rPr>
        <w:t>减少</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公务用车购置及运行维护费</w:t>
      </w:r>
      <w:r>
        <w:rPr>
          <w:rFonts w:hint="eastAsia" w:ascii="仿宋_GB2312" w:hAnsi="ˎ̥" w:eastAsia="仿宋_GB2312"/>
          <w:color w:val="000000" w:themeColor="text1"/>
          <w:sz w:val="32"/>
          <w:szCs w:val="32"/>
          <w14:textFill>
            <w14:solidFill>
              <w14:schemeClr w14:val="tx1"/>
            </w14:solidFill>
          </w14:textFill>
        </w:rPr>
        <w:t>支出决算</w:t>
      </w:r>
      <w:r>
        <w:rPr>
          <w:rFonts w:hint="eastAsia" w:ascii="仿宋_GB2312" w:hAnsi="ˎ̥" w:eastAsia="仿宋_GB2312"/>
          <w:color w:val="000000" w:themeColor="text1"/>
          <w:sz w:val="32"/>
          <w:szCs w:val="32"/>
          <w:lang w:val="en-US" w:eastAsia="zh-CN"/>
          <w14:textFill>
            <w14:solidFill>
              <w14:schemeClr w14:val="tx1"/>
            </w14:solidFill>
          </w14:textFill>
        </w:rPr>
        <w:t>5.2</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sz w:val="32"/>
          <w:szCs w:val="32"/>
        </w:rPr>
        <w:t>占</w:t>
      </w:r>
      <w:r>
        <w:rPr>
          <w:rFonts w:hint="eastAsia" w:ascii="仿宋_GB2312" w:hAnsi="ˎ̥" w:eastAsia="仿宋_GB2312"/>
          <w:sz w:val="32"/>
          <w:szCs w:val="32"/>
          <w:lang w:val="en-US" w:eastAsia="zh-CN"/>
        </w:rPr>
        <w:t>42.41</w:t>
      </w:r>
      <w:r>
        <w:rPr>
          <w:rFonts w:hint="eastAsia" w:ascii="仿宋_GB2312" w:hAnsi="ˎ̥" w:eastAsia="仿宋_GB2312"/>
          <w:sz w:val="32"/>
          <w:szCs w:val="32"/>
        </w:rPr>
        <w:t>%；公务接待费支出决算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1.公务用车购置及运行维护费</w:t>
      </w:r>
      <w:r>
        <w:rPr>
          <w:rFonts w:hint="eastAsia" w:ascii="仿宋_GB2312" w:hAnsi="ˎ̥" w:eastAsia="仿宋_GB2312"/>
          <w:b/>
          <w:bCs w:val="0"/>
          <w:sz w:val="32"/>
          <w:szCs w:val="32"/>
        </w:rPr>
        <w:t>支出</w:t>
      </w:r>
      <w:r>
        <w:rPr>
          <w:rFonts w:hint="eastAsia" w:ascii="仿宋_GB2312" w:hAnsi="ˎ̥" w:eastAsia="仿宋_GB2312"/>
          <w:b/>
          <w:bCs w:val="0"/>
          <w:sz w:val="32"/>
          <w:szCs w:val="32"/>
          <w:lang w:val="en-US" w:eastAsia="zh-CN"/>
        </w:rPr>
        <w:t>0.5</w:t>
      </w:r>
      <w:r>
        <w:rPr>
          <w:rFonts w:hint="eastAsia" w:ascii="仿宋_GB2312" w:hAnsi="ˎ̥" w:eastAsia="仿宋_GB2312"/>
          <w:b/>
          <w:bCs w:val="0"/>
          <w:sz w:val="32"/>
          <w:szCs w:val="32"/>
        </w:rPr>
        <w:t>万元。</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 w:val="0"/>
          <w:bCs/>
          <w:sz w:val="32"/>
          <w:szCs w:val="32"/>
        </w:rPr>
        <w:t>公务用车购置支出</w:t>
      </w:r>
      <w:r>
        <w:rPr>
          <w:rFonts w:hint="default" w:ascii="仿宋_GB2312" w:hAnsi="ˎ̥" w:eastAsia="仿宋_GB2312"/>
          <w:sz w:val="32"/>
          <w:szCs w:val="32"/>
          <w:lang w:val="en-US" w:eastAsia="zh-CN"/>
        </w:rPr>
        <w:t>0.00</w:t>
      </w:r>
      <w:r>
        <w:rPr>
          <w:rFonts w:hint="eastAsia" w:ascii="仿宋_GB2312" w:hAnsi="ˎ̥" w:eastAsia="仿宋_GB2312"/>
          <w:sz w:val="32"/>
          <w:szCs w:val="32"/>
          <w:lang w:val="en-US" w:eastAsia="zh-CN"/>
        </w:rPr>
        <w:t>万元，全年购置公务用车0</w:t>
      </w:r>
      <w:r>
        <w:rPr>
          <w:rFonts w:hint="eastAsia" w:ascii="仿宋_GB2312" w:hAnsi="ˎ̥" w:eastAsia="仿宋_GB2312"/>
          <w:sz w:val="32"/>
          <w:szCs w:val="32"/>
        </w:rPr>
        <w:t>辆，年末公务用车保有量</w:t>
      </w:r>
      <w:r>
        <w:rPr>
          <w:rFonts w:hint="eastAsia" w:ascii="仿宋_GB2312" w:hAnsi="ˎ̥" w:eastAsia="仿宋_GB2312"/>
          <w:sz w:val="32"/>
          <w:szCs w:val="32"/>
          <w:lang w:val="en-US" w:eastAsia="zh-CN"/>
        </w:rPr>
        <w:t>0辆。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eastAsia" w:ascii="仿宋_GB2312" w:hAnsi="ˎ̥" w:eastAsia="仿宋_GB2312"/>
          <w:sz w:val="32"/>
          <w:szCs w:val="32"/>
          <w:lang w:val="en-US" w:eastAsia="zh-CN"/>
        </w:rPr>
        <w:t>0.5万</w:t>
      </w:r>
      <w:r>
        <w:rPr>
          <w:rFonts w:hint="eastAsia" w:ascii="仿宋_GB2312" w:hAnsi="ˎ̥" w:eastAsia="仿宋_GB2312"/>
          <w:sz w:val="32"/>
          <w:szCs w:val="32"/>
        </w:rPr>
        <w:t>元，主要用于</w:t>
      </w:r>
      <w:r>
        <w:rPr>
          <w:rFonts w:hint="eastAsia" w:ascii="仿宋_GB2312" w:hAnsi="ˎ̥" w:eastAsia="仿宋_GB2312"/>
          <w:sz w:val="32"/>
          <w:szCs w:val="32"/>
          <w:lang w:val="en-US" w:eastAsia="zh-CN"/>
        </w:rPr>
        <w:t>车辆维修维护</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320" w:firstLineChars="100"/>
        <w:textAlignment w:val="auto"/>
        <w:rPr>
          <w:rFonts w:hint="eastAsia" w:ascii="仿宋_GB2312" w:hAnsi="ˎ̥" w:eastAsia="仿宋_GB2312"/>
          <w:sz w:val="32"/>
          <w:szCs w:val="32"/>
        </w:rPr>
      </w:pPr>
      <w:r>
        <w:rPr>
          <w:rFonts w:hint="eastAsia" w:ascii="仿宋_GB2312" w:hAnsi="ˎ̥" w:eastAsia="仿宋_GB2312"/>
          <w:bCs/>
          <w:color w:val="000000" w:themeColor="text1"/>
          <w:sz w:val="32"/>
          <w:szCs w:val="32"/>
          <w14:textFill>
            <w14:solidFill>
              <w14:schemeClr w14:val="tx1"/>
            </w14:solidFill>
          </w14:textFill>
        </w:rPr>
        <w:t>公务用车购置及运行维护费支出决算数</w:t>
      </w:r>
      <w:r>
        <w:rPr>
          <w:rFonts w:hint="eastAsia" w:ascii="仿宋_GB2312" w:hAnsi="ˎ̥" w:eastAsia="仿宋_GB2312"/>
          <w:color w:val="000000" w:themeColor="text1"/>
          <w:sz w:val="32"/>
          <w:szCs w:val="32"/>
          <w:lang w:eastAsia="zh-CN"/>
          <w14:textFill>
            <w14:solidFill>
              <w14:schemeClr w14:val="tx1"/>
            </w14:solidFill>
          </w14:textFill>
        </w:rPr>
        <w:t>和</w:t>
      </w:r>
      <w:r>
        <w:rPr>
          <w:rFonts w:hint="eastAsia" w:ascii="仿宋_GB2312" w:hAnsi="ˎ̥" w:eastAsia="仿宋_GB2312"/>
          <w:color w:val="000000" w:themeColor="text1"/>
          <w:sz w:val="32"/>
          <w:szCs w:val="32"/>
          <w14:textFill>
            <w14:solidFill>
              <w14:schemeClr w14:val="tx1"/>
            </w14:solidFill>
          </w14:textFill>
        </w:rPr>
        <w:t>预算数</w:t>
      </w:r>
      <w:r>
        <w:rPr>
          <w:rFonts w:hint="eastAsia" w:ascii="仿宋_GB2312" w:hAnsi="ˎ̥" w:eastAsia="仿宋_GB2312"/>
          <w:color w:val="000000" w:themeColor="text1"/>
          <w:sz w:val="32"/>
          <w:szCs w:val="32"/>
          <w:lang w:eastAsia="zh-CN"/>
          <w14:textFill>
            <w14:solidFill>
              <w14:schemeClr w14:val="tx1"/>
            </w14:solidFill>
          </w14:textFill>
        </w:rPr>
        <w:t>一样，</w:t>
      </w:r>
      <w:r>
        <w:rPr>
          <w:rFonts w:hint="eastAsia" w:ascii="仿宋_GB2312" w:hAnsi="ˎ̥" w:eastAsia="仿宋_GB2312"/>
          <w:color w:val="000000" w:themeColor="text1"/>
          <w:sz w:val="32"/>
          <w:szCs w:val="32"/>
          <w:lang w:val="en-US" w:eastAsia="zh-CN"/>
          <w14:textFill>
            <w14:solidFill>
              <w14:schemeClr w14:val="tx1"/>
            </w14:solidFill>
          </w14:textFill>
        </w:rPr>
        <w:t>完成预算的100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年度相比，公务用车购置及运行维护费支出</w:t>
      </w:r>
      <w:r>
        <w:rPr>
          <w:rFonts w:hint="eastAsia" w:ascii="仿宋_GB2312" w:hAnsi="ˎ̥" w:eastAsia="仿宋_GB2312"/>
          <w:color w:val="000000" w:themeColor="text1"/>
          <w:sz w:val="32"/>
          <w:szCs w:val="32"/>
          <w:lang w:eastAsia="zh-CN"/>
          <w14:textFill>
            <w14:solidFill>
              <w14:schemeClr w14:val="tx1"/>
            </w14:solidFill>
          </w14:textFill>
        </w:rPr>
        <w:t>减少</w:t>
      </w:r>
      <w:r>
        <w:rPr>
          <w:rFonts w:hint="eastAsia" w:ascii="仿宋_GB2312" w:hAnsi="ˎ̥" w:eastAsia="仿宋_GB2312"/>
          <w:color w:val="000000" w:themeColor="text1"/>
          <w:sz w:val="32"/>
          <w:szCs w:val="32"/>
          <w:lang w:val="en-US" w:eastAsia="zh-CN"/>
          <w14:textFill>
            <w14:solidFill>
              <w14:schemeClr w14:val="tx1"/>
            </w14:solidFill>
          </w14:textFill>
        </w:rPr>
        <w:t>0.44</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下降</w:t>
      </w:r>
      <w:r>
        <w:rPr>
          <w:rFonts w:hint="eastAsia" w:ascii="仿宋_GB2312" w:hAnsi="ˎ̥" w:eastAsia="仿宋_GB2312"/>
          <w:color w:val="000000" w:themeColor="text1"/>
          <w:sz w:val="32"/>
          <w:szCs w:val="32"/>
          <w:lang w:val="en-US" w:eastAsia="zh-CN"/>
          <w14:textFill>
            <w14:solidFill>
              <w14:schemeClr w14:val="tx1"/>
            </w14:solidFill>
          </w14:textFill>
        </w:rPr>
        <w:t>88</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，主要原因</w:t>
      </w:r>
      <w:r>
        <w:rPr>
          <w:rFonts w:hint="eastAsia" w:ascii="仿宋_GB2312" w:hAnsi="ˎ̥" w:eastAsia="仿宋_GB2312"/>
          <w:sz w:val="32"/>
          <w:szCs w:val="32"/>
          <w:lang w:eastAsia="zh-CN"/>
        </w:rPr>
        <w:t>人员减少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2024年度我单位进行绩效自评工作。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8874_WPSOffice_Level1"/>
      <w:bookmarkStart w:id="96" w:name="_Toc11039_WPSOffice_Level1"/>
      <w:bookmarkStart w:id="97" w:name="_Toc17580_WPSOffice_Level1"/>
      <w:bookmarkStart w:id="98" w:name="_Toc4398_WPSOffice_Level1"/>
      <w:bookmarkStart w:id="99" w:name="_Toc8808_WPSOffice_Level1"/>
      <w:bookmarkStart w:id="100" w:name="_Toc15425_WPSOffice_Level1"/>
      <w:r>
        <w:rPr>
          <w:rFonts w:hint="eastAsia" w:ascii="楷体" w:hAnsi="楷体" w:eastAsia="楷体" w:cs="楷体"/>
          <w:bCs/>
          <w:sz w:val="32"/>
          <w:szCs w:val="32"/>
        </w:rPr>
        <w:t>（一）机关运行经费支出情况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bidi="ar"/>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人大</w:t>
      </w:r>
      <w:r>
        <w:rPr>
          <w:rFonts w:hint="eastAsia" w:ascii="仿宋_GB2312" w:hAnsi="ˎ̥" w:eastAsia="仿宋_GB2312"/>
          <w:color w:val="000000" w:themeColor="text1"/>
          <w:sz w:val="32"/>
          <w:szCs w:val="32"/>
          <w14:textFill>
            <w14:solidFill>
              <w14:schemeClr w14:val="tx1"/>
            </w14:solidFill>
          </w14:textFill>
        </w:rPr>
        <w:t>（单位）机关运行经费</w:t>
      </w:r>
      <w:r>
        <w:rPr>
          <w:rFonts w:hint="eastAsia" w:ascii="仿宋_GB2312" w:hAnsi="ˎ̥" w:eastAsia="仿宋_GB2312"/>
          <w:color w:val="000000" w:themeColor="text1"/>
          <w:sz w:val="32"/>
          <w:szCs w:val="32"/>
          <w:lang w:val="en-US" w:eastAsia="zh-CN"/>
          <w14:textFill>
            <w14:solidFill>
              <w14:schemeClr w14:val="tx1"/>
            </w14:solidFill>
          </w14:textFill>
        </w:rPr>
        <w:t>8.02</w:t>
      </w:r>
      <w:r>
        <w:rPr>
          <w:rFonts w:hint="eastAsia" w:ascii="仿宋_GB2312" w:hAnsi="ˎ̥" w:eastAsia="仿宋_GB2312"/>
          <w:color w:val="000000" w:themeColor="text1"/>
          <w:sz w:val="32"/>
          <w:szCs w:val="32"/>
          <w14:textFill>
            <w14:solidFill>
              <w14:schemeClr w14:val="tx1"/>
            </w14:solidFill>
          </w14:textFill>
        </w:rPr>
        <w:t>万元（为部门决算中行政单位和参公事业单位财政拨款基本支出中公用经费支出之和，事业单位没有机关运行经费支出）</w:t>
      </w:r>
      <w:r>
        <w:rPr>
          <w:rFonts w:hint="eastAsia" w:ascii="仿宋_GB2312" w:hAnsi="ˎ̥" w:eastAsia="仿宋_GB2312"/>
          <w:color w:val="000000" w:themeColor="text1"/>
          <w:sz w:val="32"/>
          <w:szCs w:val="32"/>
          <w:lang w:val="en-US" w:eastAsia="zh-CN"/>
          <w14:textFill>
            <w14:solidFill>
              <w14:schemeClr w14:val="tx1"/>
            </w14:solidFill>
          </w14:textFill>
        </w:rPr>
        <w:t>与2023年度相比，机关运行经费</w:t>
      </w:r>
      <w:r>
        <w:rPr>
          <w:rFonts w:hint="eastAsia" w:ascii="仿宋_GB2312" w:hAnsi="ˎ̥" w:eastAsia="仿宋_GB2312"/>
          <w:color w:val="000000" w:themeColor="text1"/>
          <w:sz w:val="32"/>
          <w:szCs w:val="32"/>
          <w14:textFill>
            <w14:solidFill>
              <w14:schemeClr w14:val="tx1"/>
            </w14:solidFill>
          </w14:textFill>
        </w:rPr>
        <w:t>增加</w:t>
      </w:r>
      <w:r>
        <w:rPr>
          <w:rFonts w:hint="eastAsia" w:ascii="仿宋_GB2312" w:hAnsi="ˎ̥" w:eastAsia="仿宋_GB2312"/>
          <w:color w:val="000000" w:themeColor="text1"/>
          <w:sz w:val="32"/>
          <w:szCs w:val="32"/>
          <w:lang w:val="en-US" w:eastAsia="zh-CN"/>
          <w14:textFill>
            <w14:solidFill>
              <w14:schemeClr w14:val="tx1"/>
            </w14:solidFill>
          </w14:textFill>
        </w:rPr>
        <w:t>2.47</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增长30.7 %。</w:t>
      </w:r>
      <w:r>
        <w:rPr>
          <w:rFonts w:hint="eastAsia" w:ascii="仿宋_GB2312" w:hAnsi="ˎ̥" w:eastAsia="仿宋_GB2312"/>
          <w:color w:val="000000" w:themeColor="text1"/>
          <w:sz w:val="32"/>
          <w:szCs w:val="32"/>
          <w14:textFill>
            <w14:solidFill>
              <w14:schemeClr w14:val="tx1"/>
            </w14:solidFill>
          </w14:textFill>
        </w:rPr>
        <w:t>主要原因是：人员数量增加</w:t>
      </w:r>
      <w:bookmarkStart w:id="101" w:name="_Toc3131_WPSOffice_Level2"/>
      <w:bookmarkStart w:id="102" w:name="_Toc13084_WPSOffice_Level2"/>
      <w:bookmarkStart w:id="103" w:name="_Toc32689_WPSOffice_Level2"/>
      <w:bookmarkStart w:id="104" w:name="_Toc30383_WPSOffice_Level2"/>
      <w:bookmarkStart w:id="105" w:name="_Toc23966_WPSOffice_Level2"/>
      <w:bookmarkStart w:id="106" w:name="_Toc25333_WPSOffice_Level2"/>
      <w:r>
        <w:rPr>
          <w:rFonts w:hint="eastAsia" w:ascii="仿宋_GB2312" w:hAnsi="ˎ̥" w:eastAsia="仿宋_GB2312"/>
          <w:color w:val="000000" w:themeColor="text1"/>
          <w:sz w:val="32"/>
          <w:szCs w:val="32"/>
          <w:lang w:eastAsia="zh-CN" w:bidi="ar"/>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信访局</w:t>
      </w:r>
      <w:r>
        <w:rPr>
          <w:rFonts w:hint="eastAsia" w:ascii="仿宋_GB2312" w:hAnsi="ˎ̥" w:eastAsia="仿宋_GB2312"/>
          <w:sz w:val="32"/>
          <w:szCs w:val="32"/>
        </w:rPr>
        <w:t>部门（单位）政府采购支出总额</w:t>
      </w:r>
      <w:r>
        <w:rPr>
          <w:rFonts w:hint="eastAsia" w:ascii="仿宋_GB2312" w:hAnsi="ˎ̥" w:eastAsia="仿宋_GB2312"/>
          <w:sz w:val="32"/>
          <w:szCs w:val="32"/>
          <w:lang w:val="en-US" w:eastAsia="zh-CN"/>
        </w:rPr>
        <w:t>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9989_WPSOffice_Level2"/>
      <w:bookmarkStart w:id="108" w:name="_Toc6016_WPSOffice_Level2"/>
      <w:bookmarkStart w:id="109" w:name="_Toc527_WPSOffice_Level2"/>
      <w:bookmarkStart w:id="110" w:name="_Toc10902_WPSOffice_Level2"/>
      <w:bookmarkStart w:id="111" w:name="_Toc29584_WPSOffice_Level2"/>
      <w:bookmarkStart w:id="112" w:name="_Toc15129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w:t>
      </w:r>
      <w:r>
        <w:rPr>
          <w:rFonts w:hint="eastAsia" w:ascii="仿宋_GB2312" w:hAnsi="ˎ̥" w:eastAsia="仿宋_GB2312"/>
          <w:color w:val="000000" w:themeColor="text1"/>
          <w:sz w:val="32"/>
          <w:szCs w:val="32"/>
          <w14:textFill>
            <w14:solidFill>
              <w14:schemeClr w14:val="tx1"/>
            </w14:solidFill>
          </w14:textFill>
        </w:rPr>
        <w:t>屋面积</w:t>
      </w:r>
      <w:r>
        <w:rPr>
          <w:rFonts w:hint="eastAsia" w:ascii="仿宋_GB2312" w:hAnsi="ˎ̥" w:eastAsia="仿宋_GB2312"/>
          <w:color w:val="000000" w:themeColor="text1"/>
          <w:sz w:val="32"/>
          <w:szCs w:val="32"/>
          <w:lang w:val="en-US" w:eastAsia="zh-CN"/>
          <w14:textFill>
            <w14:solidFill>
              <w14:schemeClr w14:val="tx1"/>
            </w14:solidFill>
          </w14:textFill>
        </w:rPr>
        <w:t>140</w:t>
      </w:r>
      <w:r>
        <w:rPr>
          <w:rFonts w:hint="eastAsia" w:ascii="仿宋_GB2312" w:hAnsi="ˎ̥" w:eastAsia="仿宋_GB2312"/>
          <w:color w:val="000000" w:themeColor="text1"/>
          <w:sz w:val="32"/>
          <w:szCs w:val="32"/>
          <w14:textFill>
            <w14:solidFill>
              <w14:schemeClr w14:val="tx1"/>
            </w14:solidFill>
          </w14:textFill>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2880" w:firstLineChars="900"/>
        <w:jc w:val="both"/>
        <w:textAlignment w:val="auto"/>
        <w:rPr>
          <w:rFonts w:hint="eastAsia" w:ascii="黑体" w:hAnsi="ˎ̥" w:eastAsia="黑体"/>
          <w:sz w:val="32"/>
          <w:szCs w:val="32"/>
        </w:rPr>
      </w:pPr>
      <w:bookmarkStart w:id="113" w:name="_GoBack"/>
      <w:bookmarkEnd w:id="113"/>
      <w:r>
        <w:rPr>
          <w:rFonts w:hint="eastAsia" w:ascii="黑体" w:hAnsi="ˎ̥" w:eastAsia="黑体"/>
          <w:sz w:val="32"/>
          <w:szCs w:val="32"/>
        </w:rPr>
        <w:t>第四部分  名词解释</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57900408"/>
    <w:multiLevelType w:val="singleLevel"/>
    <w:tmpl w:val="57900408"/>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abstractNum w:abstractNumId="3">
    <w:nsid w:val="7E39A270"/>
    <w:multiLevelType w:val="singleLevel"/>
    <w:tmpl w:val="7E39A270"/>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NzAyMTVjZjA4NWU4NzBhYWY1ZTI4Njk1ZjkzODQ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E65A6"/>
    <w:rsid w:val="005F5987"/>
    <w:rsid w:val="00602EED"/>
    <w:rsid w:val="006B0D64"/>
    <w:rsid w:val="00731FC7"/>
    <w:rsid w:val="00740E64"/>
    <w:rsid w:val="00754F6E"/>
    <w:rsid w:val="007A4101"/>
    <w:rsid w:val="008232A9"/>
    <w:rsid w:val="008736ED"/>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EE6ED0"/>
    <w:rsid w:val="036E64D6"/>
    <w:rsid w:val="03C624E0"/>
    <w:rsid w:val="061750FB"/>
    <w:rsid w:val="06BD3FAA"/>
    <w:rsid w:val="079B1BC6"/>
    <w:rsid w:val="09201287"/>
    <w:rsid w:val="0A584055"/>
    <w:rsid w:val="0B554CF5"/>
    <w:rsid w:val="0BF57DE5"/>
    <w:rsid w:val="0C3D4D1C"/>
    <w:rsid w:val="0C640BEE"/>
    <w:rsid w:val="0C701D65"/>
    <w:rsid w:val="0CA51D18"/>
    <w:rsid w:val="0DFC2A13"/>
    <w:rsid w:val="0E0D19F9"/>
    <w:rsid w:val="0E481408"/>
    <w:rsid w:val="0F546316"/>
    <w:rsid w:val="0FC80124"/>
    <w:rsid w:val="0FCE7798"/>
    <w:rsid w:val="0FD41E03"/>
    <w:rsid w:val="10C836BC"/>
    <w:rsid w:val="112E43DE"/>
    <w:rsid w:val="11F34906"/>
    <w:rsid w:val="12207B72"/>
    <w:rsid w:val="122F0C39"/>
    <w:rsid w:val="125F54F4"/>
    <w:rsid w:val="12C84C1E"/>
    <w:rsid w:val="136F98C7"/>
    <w:rsid w:val="13A459FD"/>
    <w:rsid w:val="13B269C6"/>
    <w:rsid w:val="13B32082"/>
    <w:rsid w:val="141C7627"/>
    <w:rsid w:val="14BC6F88"/>
    <w:rsid w:val="161465DE"/>
    <w:rsid w:val="163E4F30"/>
    <w:rsid w:val="16800F84"/>
    <w:rsid w:val="16A90E90"/>
    <w:rsid w:val="17427E68"/>
    <w:rsid w:val="1755065F"/>
    <w:rsid w:val="17EB5B57"/>
    <w:rsid w:val="19414C6F"/>
    <w:rsid w:val="1A2B2D77"/>
    <w:rsid w:val="1A700259"/>
    <w:rsid w:val="1AFC29C9"/>
    <w:rsid w:val="1B605D9E"/>
    <w:rsid w:val="1B8279E2"/>
    <w:rsid w:val="1CA52F2E"/>
    <w:rsid w:val="1D037280"/>
    <w:rsid w:val="1D386547"/>
    <w:rsid w:val="1DFE370B"/>
    <w:rsid w:val="1E3630B9"/>
    <w:rsid w:val="1E7F2203"/>
    <w:rsid w:val="1F2130DA"/>
    <w:rsid w:val="1F6F681F"/>
    <w:rsid w:val="20BA4FB9"/>
    <w:rsid w:val="21215DA2"/>
    <w:rsid w:val="218C4BEE"/>
    <w:rsid w:val="21D569E7"/>
    <w:rsid w:val="223A12E2"/>
    <w:rsid w:val="22410EB8"/>
    <w:rsid w:val="227B5315"/>
    <w:rsid w:val="22964F3D"/>
    <w:rsid w:val="242214DA"/>
    <w:rsid w:val="26865C64"/>
    <w:rsid w:val="26EEC2B5"/>
    <w:rsid w:val="27A42F96"/>
    <w:rsid w:val="28741C1E"/>
    <w:rsid w:val="288A0337"/>
    <w:rsid w:val="289E14BB"/>
    <w:rsid w:val="29472309"/>
    <w:rsid w:val="295F7153"/>
    <w:rsid w:val="299C3C56"/>
    <w:rsid w:val="2B406E77"/>
    <w:rsid w:val="2C2A0C43"/>
    <w:rsid w:val="2C510C01"/>
    <w:rsid w:val="2CD057A3"/>
    <w:rsid w:val="2D1E73A5"/>
    <w:rsid w:val="2E446AA1"/>
    <w:rsid w:val="2E653B55"/>
    <w:rsid w:val="2F6D2B85"/>
    <w:rsid w:val="2F715007"/>
    <w:rsid w:val="30CB1738"/>
    <w:rsid w:val="31E87920"/>
    <w:rsid w:val="32717154"/>
    <w:rsid w:val="327D4667"/>
    <w:rsid w:val="32DE4AAC"/>
    <w:rsid w:val="345D37D6"/>
    <w:rsid w:val="34773C0D"/>
    <w:rsid w:val="34B63260"/>
    <w:rsid w:val="36425119"/>
    <w:rsid w:val="36F909B9"/>
    <w:rsid w:val="37436B6D"/>
    <w:rsid w:val="37456FF1"/>
    <w:rsid w:val="37B86276"/>
    <w:rsid w:val="37FDA7E2"/>
    <w:rsid w:val="385936C6"/>
    <w:rsid w:val="3A314D88"/>
    <w:rsid w:val="3A746883"/>
    <w:rsid w:val="3AE635AB"/>
    <w:rsid w:val="3B7E36E2"/>
    <w:rsid w:val="3BEA2EDB"/>
    <w:rsid w:val="3C2E2C96"/>
    <w:rsid w:val="3C8D24BD"/>
    <w:rsid w:val="3CA15DE9"/>
    <w:rsid w:val="3D5D0B3E"/>
    <w:rsid w:val="3DE55053"/>
    <w:rsid w:val="3E691DE9"/>
    <w:rsid w:val="3F266E99"/>
    <w:rsid w:val="3F9133A5"/>
    <w:rsid w:val="3FE61EE5"/>
    <w:rsid w:val="40586E18"/>
    <w:rsid w:val="406508EE"/>
    <w:rsid w:val="40793A83"/>
    <w:rsid w:val="408A2031"/>
    <w:rsid w:val="408D6263"/>
    <w:rsid w:val="41AC1CEE"/>
    <w:rsid w:val="41B40CEE"/>
    <w:rsid w:val="420D73C4"/>
    <w:rsid w:val="42165DD5"/>
    <w:rsid w:val="424D6A63"/>
    <w:rsid w:val="42B1471F"/>
    <w:rsid w:val="430430FB"/>
    <w:rsid w:val="43A652D8"/>
    <w:rsid w:val="44761012"/>
    <w:rsid w:val="448C2E07"/>
    <w:rsid w:val="44BD41B8"/>
    <w:rsid w:val="47332113"/>
    <w:rsid w:val="47572972"/>
    <w:rsid w:val="48317291"/>
    <w:rsid w:val="485F7024"/>
    <w:rsid w:val="48E70666"/>
    <w:rsid w:val="49250F5A"/>
    <w:rsid w:val="495952D5"/>
    <w:rsid w:val="495B54CA"/>
    <w:rsid w:val="49D42516"/>
    <w:rsid w:val="4A474D21"/>
    <w:rsid w:val="4B465887"/>
    <w:rsid w:val="4BDE1A74"/>
    <w:rsid w:val="4C6877E5"/>
    <w:rsid w:val="4CD55AF2"/>
    <w:rsid w:val="4CDB6F82"/>
    <w:rsid w:val="4D6A468D"/>
    <w:rsid w:val="4E87622F"/>
    <w:rsid w:val="4EA86137"/>
    <w:rsid w:val="4F3D2490"/>
    <w:rsid w:val="506428F2"/>
    <w:rsid w:val="51637415"/>
    <w:rsid w:val="53EB5C51"/>
    <w:rsid w:val="54080232"/>
    <w:rsid w:val="549C3CED"/>
    <w:rsid w:val="55476F44"/>
    <w:rsid w:val="56247F35"/>
    <w:rsid w:val="56CA7FD0"/>
    <w:rsid w:val="56EC2647"/>
    <w:rsid w:val="5726316D"/>
    <w:rsid w:val="57FA38D1"/>
    <w:rsid w:val="5837226D"/>
    <w:rsid w:val="58940B50"/>
    <w:rsid w:val="595834CF"/>
    <w:rsid w:val="598B3664"/>
    <w:rsid w:val="5A1654EB"/>
    <w:rsid w:val="5A6A27A9"/>
    <w:rsid w:val="5AE74863"/>
    <w:rsid w:val="5B7E54E2"/>
    <w:rsid w:val="5C8A2D71"/>
    <w:rsid w:val="5D3152E1"/>
    <w:rsid w:val="5E1C340E"/>
    <w:rsid w:val="5E3F3792"/>
    <w:rsid w:val="5E50468E"/>
    <w:rsid w:val="5F22696D"/>
    <w:rsid w:val="5F27325E"/>
    <w:rsid w:val="5F7D3333"/>
    <w:rsid w:val="60A0116E"/>
    <w:rsid w:val="612B49A9"/>
    <w:rsid w:val="61385890"/>
    <w:rsid w:val="61461DEA"/>
    <w:rsid w:val="624037BB"/>
    <w:rsid w:val="62FC6DDE"/>
    <w:rsid w:val="63681160"/>
    <w:rsid w:val="63D25BB7"/>
    <w:rsid w:val="6410183C"/>
    <w:rsid w:val="64C940E8"/>
    <w:rsid w:val="64D71DCD"/>
    <w:rsid w:val="659722B8"/>
    <w:rsid w:val="65D903D4"/>
    <w:rsid w:val="66283718"/>
    <w:rsid w:val="66D35FB9"/>
    <w:rsid w:val="670808F6"/>
    <w:rsid w:val="684566A5"/>
    <w:rsid w:val="687436E1"/>
    <w:rsid w:val="692C00EA"/>
    <w:rsid w:val="6A182FBF"/>
    <w:rsid w:val="6A6056D5"/>
    <w:rsid w:val="6CB82F5B"/>
    <w:rsid w:val="6D8343C6"/>
    <w:rsid w:val="6DA45C50"/>
    <w:rsid w:val="6DED672C"/>
    <w:rsid w:val="6DFB7AD2"/>
    <w:rsid w:val="6E203CD9"/>
    <w:rsid w:val="6E9A7825"/>
    <w:rsid w:val="6ED23B5B"/>
    <w:rsid w:val="6ED43E3A"/>
    <w:rsid w:val="6F0D4530"/>
    <w:rsid w:val="6F670F9B"/>
    <w:rsid w:val="6F760612"/>
    <w:rsid w:val="6FD96782"/>
    <w:rsid w:val="711315BD"/>
    <w:rsid w:val="716F3AD4"/>
    <w:rsid w:val="71D651F0"/>
    <w:rsid w:val="72F51888"/>
    <w:rsid w:val="737450E0"/>
    <w:rsid w:val="74054476"/>
    <w:rsid w:val="742F38C4"/>
    <w:rsid w:val="74AB66DC"/>
    <w:rsid w:val="74C4154C"/>
    <w:rsid w:val="75956FFF"/>
    <w:rsid w:val="763D2A1B"/>
    <w:rsid w:val="7683646B"/>
    <w:rsid w:val="768D1A89"/>
    <w:rsid w:val="771C4535"/>
    <w:rsid w:val="77201599"/>
    <w:rsid w:val="77AA2D01"/>
    <w:rsid w:val="77B41E1D"/>
    <w:rsid w:val="79584EB9"/>
    <w:rsid w:val="79627585"/>
    <w:rsid w:val="79732CBE"/>
    <w:rsid w:val="7A664F23"/>
    <w:rsid w:val="7ACF5D34"/>
    <w:rsid w:val="7B144E0F"/>
    <w:rsid w:val="7BA5503A"/>
    <w:rsid w:val="7C174657"/>
    <w:rsid w:val="7CDE1DBD"/>
    <w:rsid w:val="7D221505"/>
    <w:rsid w:val="7D931228"/>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6894</Words>
  <Characters>7689</Characters>
  <Lines>67</Lines>
  <Paragraphs>18</Paragraphs>
  <TotalTime>10</TotalTime>
  <ScaleCrop>false</ScaleCrop>
  <LinksUpToDate>false</LinksUpToDate>
  <CharactersWithSpaces>7792</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2026-02-02T09:16:56Z</cp:lastPrinted>
  <dcterms:modified xsi:type="dcterms:W3CDTF">2026-02-02T09:18:30Z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