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highlight w:val="none"/>
        </w:rPr>
      </w:pPr>
      <w:r>
        <w:rPr>
          <w:rFonts w:hint="eastAsia" w:asciiTheme="majorEastAsia" w:hAnsiTheme="majorEastAsia" w:eastAsiaTheme="majorEastAsia" w:cstheme="majorEastAsia"/>
          <w:b/>
          <w:bCs/>
          <w:color w:val="auto"/>
          <w:sz w:val="44"/>
          <w:szCs w:val="44"/>
          <w:highlight w:val="none"/>
        </w:rPr>
        <w:t>申扎县</w:t>
      </w:r>
      <w:r>
        <w:rPr>
          <w:rFonts w:hint="eastAsia" w:asciiTheme="majorEastAsia" w:hAnsiTheme="majorEastAsia" w:eastAsiaTheme="majorEastAsia" w:cstheme="majorEastAsia"/>
          <w:b/>
          <w:bCs/>
          <w:color w:val="auto"/>
          <w:sz w:val="44"/>
          <w:szCs w:val="44"/>
          <w:highlight w:val="none"/>
          <w:lang w:eastAsia="zh-CN"/>
        </w:rPr>
        <w:t>应急管理局</w:t>
      </w:r>
      <w:bookmarkStart w:id="103" w:name="_GoBack"/>
      <w:bookmarkEnd w:id="103"/>
      <w:r>
        <w:rPr>
          <w:rFonts w:hint="eastAsia" w:asciiTheme="majorEastAsia" w:hAnsiTheme="majorEastAsia" w:eastAsiaTheme="majorEastAsia" w:cstheme="majorEastAsia"/>
          <w:b/>
          <w:bCs/>
          <w:color w:val="auto"/>
          <w:sz w:val="44"/>
          <w:szCs w:val="44"/>
          <w:highlight w:val="none"/>
        </w:rPr>
        <w:t>机关2024年度部门决算</w:t>
      </w:r>
    </w:p>
    <w:p>
      <w:pPr>
        <w:spacing w:line="578" w:lineRule="exact"/>
        <w:jc w:val="center"/>
        <w:rPr>
          <w:rFonts w:hint="eastAsia" w:asciiTheme="majorEastAsia" w:hAnsiTheme="majorEastAsia" w:eastAsiaTheme="majorEastAsia" w:cstheme="majorEastAsia"/>
          <w:b/>
          <w:bCs/>
          <w:color w:val="auto"/>
          <w:sz w:val="44"/>
          <w:szCs w:val="44"/>
          <w:highlight w:val="none"/>
        </w:rPr>
      </w:pPr>
      <w:r>
        <w:rPr>
          <w:rFonts w:hint="eastAsia" w:asciiTheme="majorEastAsia" w:hAnsiTheme="majorEastAsia" w:eastAsiaTheme="majorEastAsia" w:cstheme="majorEastAsia"/>
          <w:b/>
          <w:bCs/>
          <w:color w:val="auto"/>
          <w:sz w:val="44"/>
          <w:szCs w:val="44"/>
          <w:highlight w:val="none"/>
        </w:rPr>
        <w:t>公开报告</w:t>
      </w:r>
    </w:p>
    <w:p>
      <w:pPr>
        <w:spacing w:line="578" w:lineRule="exact"/>
        <w:jc w:val="center"/>
        <w:rPr>
          <w:rFonts w:hint="eastAsia" w:ascii="黑体" w:hAnsi="ˎ̥" w:eastAsia="黑体"/>
          <w:b/>
          <w:color w:val="auto"/>
          <w:sz w:val="32"/>
          <w:szCs w:val="32"/>
          <w:highlight w:val="none"/>
        </w:rPr>
      </w:pPr>
    </w:p>
    <w:p>
      <w:pPr>
        <w:spacing w:line="578" w:lineRule="exact"/>
        <w:jc w:val="center"/>
        <w:rPr>
          <w:rFonts w:hint="eastAsia" w:ascii="黑体" w:hAnsi="黑体" w:eastAsia="黑体" w:cs="黑体"/>
          <w:color w:val="auto"/>
          <w:sz w:val="44"/>
          <w:szCs w:val="44"/>
          <w:highlight w:val="none"/>
        </w:rPr>
      </w:pPr>
      <w:bookmarkStart w:id="0" w:name="_Toc11440_WPSOffice_Type2"/>
      <w:r>
        <w:rPr>
          <w:rFonts w:hint="eastAsia" w:ascii="黑体" w:hAnsi="黑体" w:eastAsia="黑体" w:cs="黑体"/>
          <w:color w:val="auto"/>
          <w:sz w:val="44"/>
          <w:szCs w:val="44"/>
          <w:highlight w:val="none"/>
        </w:rPr>
        <w:t>目  录</w:t>
      </w:r>
    </w:p>
    <w:p>
      <w:pPr>
        <w:pStyle w:val="17"/>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_Toc1704_WPSOffice_Level1 </w:instrText>
      </w:r>
      <w:r>
        <w:rPr>
          <w:color w:val="auto"/>
          <w:sz w:val="32"/>
          <w:szCs w:val="32"/>
          <w:highlight w:val="none"/>
        </w:rPr>
        <w:fldChar w:fldCharType="separate"/>
      </w:r>
      <w:r>
        <w:rPr>
          <w:rFonts w:hint="eastAsia" w:ascii="黑体" w:hAnsi="ˎ̥" w:eastAsia="黑体"/>
          <w:color w:val="auto"/>
          <w:sz w:val="32"/>
          <w:szCs w:val="32"/>
          <w:highlight w:val="none"/>
        </w:rPr>
        <w:t>第一部分 基本情况</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_Toc20274_WPSOffice_Level2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一、部门（单位）职责</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_Toc4833_WPSOffice_Level2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二、机构设置</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17"/>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_Toc28253_WPSOffice_Level1 </w:instrText>
      </w:r>
      <w:r>
        <w:rPr>
          <w:color w:val="auto"/>
          <w:sz w:val="32"/>
          <w:szCs w:val="32"/>
          <w:highlight w:val="none"/>
        </w:rPr>
        <w:fldChar w:fldCharType="separate"/>
      </w: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年度部门决算公开表</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17"/>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_Toc27590_WPSOffice_Level1 </w:instrText>
      </w:r>
      <w:r>
        <w:rPr>
          <w:color w:val="auto"/>
          <w:sz w:val="32"/>
          <w:szCs w:val="32"/>
          <w:highlight w:val="none"/>
        </w:rPr>
        <w:fldChar w:fldCharType="separate"/>
      </w:r>
      <w:r>
        <w:rPr>
          <w:rFonts w:hint="eastAsia" w:ascii="黑体" w:hAnsi="黑体" w:eastAsia="黑体" w:cs="黑体"/>
          <w:color w:val="auto"/>
          <w:sz w:val="32"/>
          <w:szCs w:val="32"/>
          <w:highlight w:val="none"/>
        </w:rPr>
        <w:t>第三部分</w:t>
      </w:r>
      <w:r>
        <w:rPr>
          <w:rFonts w:hint="eastAsia"/>
          <w:color w:val="auto"/>
          <w:sz w:val="32"/>
          <w:szCs w:val="32"/>
          <w:highlight w:val="none"/>
        </w:rPr>
        <w:t xml:space="preserve">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年度部门决算情况说明</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3</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_Toc21737_WPSOffice_Level2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一、收入支出总体情况说明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3</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二、收入决算情况说明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三、支出决算情况说明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四、财政拨款收入支出决算</w:t>
      </w:r>
      <w:r>
        <w:rPr>
          <w:rFonts w:hint="eastAsia" w:ascii="仿宋" w:hAnsi="仿宋" w:eastAsia="仿宋" w:cs="仿宋"/>
          <w:bCs/>
          <w:color w:val="auto"/>
          <w:sz w:val="32"/>
          <w:szCs w:val="32"/>
          <w:highlight w:val="none"/>
          <w:lang w:val="en-US" w:eastAsia="zh-CN"/>
        </w:rPr>
        <w:t>总体</w:t>
      </w:r>
      <w:r>
        <w:rPr>
          <w:rFonts w:hint="eastAsia" w:ascii="仿宋" w:hAnsi="仿宋" w:eastAsia="仿宋" w:cs="仿宋"/>
          <w:bCs/>
          <w:color w:val="auto"/>
          <w:sz w:val="32"/>
          <w:szCs w:val="32"/>
          <w:highlight w:val="none"/>
        </w:rPr>
        <w:t>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五、一般公共预算财政拨款支出决算情况说明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5</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六、一般公共预算财政拨款基本支出决算情况说明</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6</w:t>
      </w:r>
    </w:p>
    <w:p>
      <w:pPr>
        <w:pStyle w:val="18"/>
        <w:numPr>
          <w:ilvl w:val="0"/>
          <w:numId w:val="1"/>
        </w:numPr>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政府性基金预算财政拨款支出决算情况说明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7</w:t>
      </w:r>
    </w:p>
    <w:p>
      <w:pPr>
        <w:pStyle w:val="18"/>
        <w:numPr>
          <w:ilvl w:val="0"/>
          <w:numId w:val="1"/>
        </w:numPr>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国有资本经营预算财政拨款支出决算情况说明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8</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九、财政拨款“三公”经费支出决算情况说明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9</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十、预算绩效情况说明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11</w:t>
      </w:r>
    </w:p>
    <w:p>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十一、其他重要事项情况说明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13</w:t>
      </w:r>
    </w:p>
    <w:p>
      <w:pPr>
        <w:pStyle w:val="17"/>
        <w:tabs>
          <w:tab w:val="right" w:leader="dot" w:pos="8306"/>
        </w:tabs>
        <w:spacing w:line="578" w:lineRule="exact"/>
        <w:rPr>
          <w:rFonts w:hint="eastAsia" w:ascii="黑体" w:hAnsi="ˎ̥"/>
          <w:b/>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_Toc15425_WPSOffice_Level1 </w:instrText>
      </w:r>
      <w:r>
        <w:rPr>
          <w:color w:val="auto"/>
          <w:sz w:val="32"/>
          <w:szCs w:val="32"/>
          <w:highlight w:val="none"/>
        </w:rPr>
        <w:fldChar w:fldCharType="separate"/>
      </w:r>
      <w:r>
        <w:rPr>
          <w:rFonts w:hint="eastAsia" w:ascii="黑体" w:hAnsi="ˎ̥" w:eastAsia="黑体"/>
          <w:color w:val="auto"/>
          <w:sz w:val="32"/>
          <w:szCs w:val="32"/>
          <w:highlight w:val="none"/>
        </w:rPr>
        <w:t>第四部分  名词解释</w:t>
      </w:r>
      <w:r>
        <w:rPr>
          <w:color w:val="auto"/>
          <w:sz w:val="32"/>
          <w:szCs w:val="32"/>
          <w:highlight w:val="none"/>
        </w:rPr>
        <w:tab/>
      </w:r>
      <w:bookmarkStart w:id="1" w:name="_Toc15425_WPSOffice_Level1Page"/>
      <w:r>
        <w:rPr>
          <w:color w:val="auto"/>
          <w:sz w:val="32"/>
          <w:szCs w:val="32"/>
          <w:highlight w:val="none"/>
        </w:rPr>
        <w:t>1</w:t>
      </w:r>
      <w:bookmarkEnd w:id="1"/>
      <w:r>
        <w:rPr>
          <w:color w:val="auto"/>
          <w:sz w:val="32"/>
          <w:szCs w:val="32"/>
          <w:highlight w:val="none"/>
        </w:rPr>
        <w:fldChar w:fldCharType="end"/>
      </w:r>
      <w:bookmarkEnd w:id="0"/>
      <w:r>
        <w:rPr>
          <w:rFonts w:hint="eastAsia"/>
          <w:color w:val="auto"/>
          <w:sz w:val="32"/>
          <w:szCs w:val="32"/>
          <w:highlight w:val="none"/>
        </w:rPr>
        <w:t>5</w:t>
      </w:r>
    </w:p>
    <w:p>
      <w:pPr>
        <w:spacing w:line="578" w:lineRule="exact"/>
        <w:jc w:val="both"/>
        <w:rPr>
          <w:rFonts w:hint="eastAsia" w:ascii="黑体" w:hAnsi="ˎ̥" w:eastAsia="黑体"/>
          <w:color w:val="auto"/>
          <w:sz w:val="32"/>
          <w:szCs w:val="32"/>
          <w:highlight w:val="none"/>
        </w:rPr>
      </w:pPr>
      <w:bookmarkStart w:id="2" w:name="_Toc10049_WPSOffice_Level1"/>
      <w:bookmarkStart w:id="3" w:name="_Toc22941_WPSOffice_Level1"/>
      <w:bookmarkStart w:id="4" w:name="_Toc23465_WPSOffice_Level1"/>
      <w:bookmarkStart w:id="5" w:name="_Toc32433_WPSOffice_Level1"/>
      <w:bookmarkStart w:id="6" w:name="_Toc10720_WPSOffice_Level1"/>
      <w:bookmarkStart w:id="7" w:name="_Toc1704_WPSOffice_Level1"/>
      <w:bookmarkStart w:id="8" w:name="_Toc24238_WPSOffice_Level2"/>
      <w:bookmarkStart w:id="9" w:name="_Toc14159_WPSOffice_Level2"/>
      <w:bookmarkStart w:id="10" w:name="_Toc26580_WPSOffice_Level2"/>
      <w:bookmarkStart w:id="11" w:name="_Toc20205_WPSOffice_Level2"/>
      <w:bookmarkStart w:id="12" w:name="_Toc20274_WPSOffice_Level2"/>
      <w:bookmarkStart w:id="13" w:name="_Toc32622_WPSOffice_Level2"/>
    </w:p>
    <w:p>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第一部分  </w:t>
      </w:r>
      <w:bookmarkEnd w:id="2"/>
      <w:bookmarkEnd w:id="3"/>
      <w:bookmarkEnd w:id="4"/>
      <w:bookmarkEnd w:id="5"/>
      <w:bookmarkEnd w:id="6"/>
      <w:bookmarkEnd w:id="7"/>
      <w:r>
        <w:rPr>
          <w:rFonts w:hint="eastAsia" w:ascii="黑体" w:hAnsi="ˎ̥" w:eastAsia="黑体"/>
          <w:color w:val="auto"/>
          <w:sz w:val="32"/>
          <w:szCs w:val="32"/>
          <w:highlight w:val="none"/>
        </w:rPr>
        <w:t>基本情况</w:t>
      </w:r>
    </w:p>
    <w:p>
      <w:pPr>
        <w:numPr>
          <w:ilvl w:val="0"/>
          <w:numId w:val="0"/>
        </w:numPr>
        <w:spacing w:line="578" w:lineRule="exact"/>
        <w:ind w:firstLine="640" w:firstLineChars="200"/>
        <w:rPr>
          <w:rFonts w:hint="eastAsia" w:ascii="黑体" w:hAnsi="黑体" w:eastAsia="黑体" w:cs="黑体"/>
          <w:color w:val="auto"/>
          <w:sz w:val="32"/>
          <w:szCs w:val="32"/>
          <w:highlight w:val="none"/>
          <w:lang w:val="en-US" w:eastAsia="zh-CN"/>
        </w:rPr>
      </w:pPr>
    </w:p>
    <w:p>
      <w:pPr>
        <w:numPr>
          <w:ilvl w:val="0"/>
          <w:numId w:val="2"/>
        </w:numPr>
        <w:spacing w:line="578"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部门</w:t>
      </w:r>
      <w:bookmarkEnd w:id="8"/>
      <w:r>
        <w:rPr>
          <w:rFonts w:hint="eastAsia" w:ascii="黑体" w:hAnsi="黑体" w:eastAsia="黑体" w:cs="黑体"/>
          <w:color w:val="auto"/>
          <w:sz w:val="32"/>
          <w:szCs w:val="32"/>
          <w:highlight w:val="none"/>
        </w:rPr>
        <w:t>（单位）职责</w:t>
      </w:r>
      <w:bookmarkEnd w:id="9"/>
      <w:bookmarkEnd w:id="10"/>
      <w:bookmarkEnd w:id="11"/>
      <w:bookmarkEnd w:id="12"/>
      <w:bookmarkEnd w:id="13"/>
    </w:p>
    <w:p>
      <w:pPr>
        <w:numPr>
          <w:ilvl w:val="0"/>
          <w:numId w:val="0"/>
        </w:num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申扎</w:t>
      </w:r>
      <w:r>
        <w:rPr>
          <w:rFonts w:hint="eastAsia" w:ascii="仿宋" w:hAnsi="仿宋" w:eastAsia="仿宋" w:cs="仿宋"/>
          <w:sz w:val="32"/>
          <w:szCs w:val="32"/>
        </w:rPr>
        <w:t>县应急管理局是县政府工作部门为正科级</w:t>
      </w:r>
      <w:r>
        <w:rPr>
          <w:rFonts w:hint="eastAsia" w:ascii="仿宋" w:hAnsi="仿宋" w:eastAsia="仿宋" w:cs="仿宋"/>
          <w:sz w:val="32"/>
          <w:szCs w:val="32"/>
          <w:lang w:val="en-US" w:eastAsia="zh-CN"/>
        </w:rPr>
        <w:t>,</w:t>
      </w:r>
      <w:r>
        <w:rPr>
          <w:rFonts w:hint="eastAsia" w:ascii="仿宋" w:hAnsi="仿宋" w:eastAsia="仿宋" w:cs="仿宋"/>
          <w:sz w:val="32"/>
          <w:szCs w:val="32"/>
        </w:rPr>
        <w:t>县应急管理局贯彻落实党中央关于应急管理工作的方针政策和自治区党委、市委、县委的决策部署，在履行职责过程中坚持和加强县委对应急管理工作的统一领导。</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(一）负责应急管理工作，指导各乡（镇）、各部门应对安全生产类、自然灾害类等突发事件和综合防灾减灾救灾工作。负责安全生产综合监督管理和工矿商贸行业安全生产监督管理工作。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(二）拟订应急管理、安全生产政策，组织编制金县应急体系建设、安全生产和综合防灾减灾规划，参与起草相关地方性法规和政府规章草案，组织制定有关规程和标准并监督实施。</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指导应急预案体系建设，执行事故灾难和自然灾害分级应对制度，组织编制全县总体应急预案和安全生产类、自然灾害类专项预案，综合协调应急预案衔接工作，组织开展预案演练，推动应急避难设施建设。</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(四）牵头建立统一的应急管理信息系统，负责信息传输渠道的规划和布局，建立监测预警和灾情报告制度，健全自然灾害信息资源获取和共享机制，依法统一发布灾情。</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(五）组织指导协调安全生产类、自然灾害类等突发事件应急救援，承担全县应对重大灾害指挥部工作，综合研判突发事件发展态势并提出应对建议，协助县委、县政府指定负责同志组织重大灾害应急处置工作。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(六）统一协调指挥各类应急专业队伍，建立应急协调联动机制，推进指挥平治对接，衔接解放军和武警部队参与应急救援工作。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(七）统筹应急救援力量建设，负责消防、森林和草原火灾扑救、抗洪抢险、地震和地质灾害救援、生产安全事故救援等专业应急救援力量建设，管理综合性应急救援队伍，指导乡（镇）社会应急救援力量建设。</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(八）负责消防工作，指导乡（镇）消防监督、火灾预防、火灾扑救等工作。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(九）指导协调森林和草原火灾、水旱灾害、地震和地质灾害等防治工作，负责自然灾害综合监测预警工作，指导开展自然灾害综合风险评估工作。</w:t>
      </w:r>
    </w:p>
    <w:p>
      <w:pPr>
        <w:spacing w:line="240" w:lineRule="auto"/>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(十）组织协调灾害救助工作，组织指导开展灾情核查、损失评估、救灾捐赠工作，管理、分配救灾款物并监督使用</w:t>
      </w:r>
      <w:r>
        <w:rPr>
          <w:rFonts w:hint="eastAsia" w:ascii="仿宋" w:hAnsi="仿宋" w:eastAsia="仿宋" w:cs="仿宋"/>
          <w:sz w:val="32"/>
          <w:szCs w:val="32"/>
          <w:lang w:eastAsia="zh-CN"/>
        </w:rPr>
        <w:t>。</w:t>
      </w:r>
      <w:r>
        <w:rPr>
          <w:rFonts w:hint="eastAsia" w:ascii="仿宋" w:hAnsi="仿宋" w:eastAsia="仿宋" w:cs="仿宋"/>
          <w:sz w:val="32"/>
          <w:szCs w:val="32"/>
        </w:rPr>
        <w:t>依法行使全县安全生产综合监督管理职权，指导协调、监督检查各乡（镇）各部门安全生产工作，组织开展安全生产巡查、考核工作。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十一</w:t>
      </w:r>
      <w:r>
        <w:rPr>
          <w:rFonts w:hint="eastAsia" w:ascii="仿宋" w:hAnsi="仿宋" w:eastAsia="仿宋" w:cs="仿宋"/>
          <w:sz w:val="32"/>
          <w:szCs w:val="32"/>
        </w:rPr>
        <w:t>）按照分级、属地原则，依法监督检查工矿商贸生产经营单位贯彻执行安全生产法律法规情况及其安全生产条件和有关设备（特种设备除外）、材料、劳动防护用品的安全生产管理工作。负责监督管理工矿商贸行业企业安全生产工作。依法组织并指导监督实施安全生产准入制度。负责危险化学品安全监督管理综合工作和烟花爆竹安全生产监督管理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十二</w:t>
      </w:r>
      <w:r>
        <w:rPr>
          <w:rFonts w:hint="eastAsia" w:ascii="仿宋" w:hAnsi="仿宋" w:eastAsia="仿宋" w:cs="仿宋"/>
          <w:sz w:val="32"/>
          <w:szCs w:val="32"/>
        </w:rPr>
        <w:t>）依法组织指导生产安全事故调查处理，监督事故查处和责任追究落实情况。组织开展自然灾害类突发事件的调查评估工作。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三</w:t>
      </w:r>
      <w:r>
        <w:rPr>
          <w:rFonts w:hint="eastAsia" w:ascii="仿宋" w:hAnsi="仿宋" w:eastAsia="仿宋" w:cs="仿宋"/>
          <w:sz w:val="32"/>
          <w:szCs w:val="32"/>
        </w:rPr>
        <w:t>）根据上级要求，开展应急管理方面的对外交流与合作，组织参与安全生产类、自然灾害类等突发事件的区内外救援工作。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四</w:t>
      </w:r>
      <w:r>
        <w:rPr>
          <w:rFonts w:hint="eastAsia" w:ascii="仿宋" w:hAnsi="仿宋" w:eastAsia="仿宋" w:cs="仿宋"/>
          <w:sz w:val="32"/>
          <w:szCs w:val="32"/>
        </w:rPr>
        <w:t>）制定应急物资储备和应急救援装备规划并组织实施，会同县发展和改革委员会（县粮食和物资储备局）等部门建立健全应急物资信息平台和调拨制度，在救灾时统一调度。</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五</w:t>
      </w:r>
      <w:r>
        <w:rPr>
          <w:rFonts w:hint="eastAsia" w:ascii="仿宋" w:hAnsi="仿宋" w:eastAsia="仿宋" w:cs="仿宋"/>
          <w:sz w:val="32"/>
          <w:szCs w:val="32"/>
        </w:rPr>
        <w:t>）负责应急管理、安全生产宣传教育和培训工作，组织指导应急管理、安全生产的科学技术研究、推广应用和信息化建设工作。</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六</w:t>
      </w:r>
      <w:r>
        <w:rPr>
          <w:rFonts w:hint="eastAsia" w:ascii="仿宋" w:hAnsi="仿宋" w:eastAsia="仿宋" w:cs="仿宋"/>
          <w:sz w:val="32"/>
          <w:szCs w:val="32"/>
        </w:rPr>
        <w:t>）完成县委、县政府交办的其他任务。</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2．机构情况，包括当年变动情况及原因。</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3．人员情况，包括当年变动情况及原因。</w:t>
      </w:r>
    </w:p>
    <w:p>
      <w:pPr>
        <w:spacing w:line="576" w:lineRule="exact"/>
        <w:rPr>
          <w:rFonts w:hint="eastAsia" w:ascii="黑体" w:hAnsi="黑体" w:eastAsia="黑体" w:cs="黑体"/>
          <w:color w:val="auto"/>
          <w:sz w:val="32"/>
          <w:szCs w:val="32"/>
          <w:highlight w:val="none"/>
          <w:lang w:val="en-US" w:eastAsia="zh-CN"/>
        </w:rPr>
      </w:pPr>
      <w:r>
        <w:rPr>
          <w:rFonts w:hint="eastAsia" w:eastAsia="方正仿宋简体"/>
          <w:spacing w:val="-40"/>
          <w:sz w:val="32"/>
          <w:szCs w:val="32"/>
        </w:rPr>
        <w:t xml:space="preserve">     </w:t>
      </w:r>
      <w:r>
        <w:rPr>
          <w:rFonts w:hint="eastAsia" w:eastAsia="方正仿宋简体"/>
          <w:b/>
          <w:bCs/>
          <w:spacing w:val="-40"/>
          <w:sz w:val="32"/>
          <w:szCs w:val="32"/>
        </w:rPr>
        <w:t xml:space="preserve">        </w:t>
      </w:r>
      <w:bookmarkStart w:id="14" w:name="_Toc6572_WPSOffice_Level2"/>
      <w:bookmarkStart w:id="15" w:name="_Toc4833_WPSOffice_Level2"/>
      <w:bookmarkStart w:id="16" w:name="_Toc17796_WPSOffice_Level2"/>
      <w:bookmarkStart w:id="17" w:name="_Toc24059_WPSOffice_Level2"/>
      <w:bookmarkStart w:id="18" w:name="_Toc24474_WPSOffice_Level2"/>
      <w:r>
        <w:rPr>
          <w:rFonts w:hint="eastAsia" w:ascii="黑体" w:hAnsi="黑体" w:eastAsia="黑体" w:cs="黑体"/>
          <w:color w:val="auto"/>
          <w:sz w:val="32"/>
          <w:szCs w:val="32"/>
          <w:highlight w:val="none"/>
        </w:rPr>
        <w:t>二、</w:t>
      </w:r>
      <w:r>
        <w:rPr>
          <w:rFonts w:hint="eastAsia" w:ascii="黑体" w:hAnsi="黑体" w:eastAsia="黑体" w:cs="黑体"/>
          <w:color w:val="auto"/>
          <w:sz w:val="32"/>
          <w:szCs w:val="32"/>
          <w:highlight w:val="none"/>
          <w:lang w:val="en-US" w:eastAsia="zh-CN"/>
        </w:rPr>
        <w:t>部门（单位）</w:t>
      </w:r>
      <w:r>
        <w:rPr>
          <w:rFonts w:hint="eastAsia" w:ascii="黑体" w:hAnsi="黑体" w:eastAsia="黑体" w:cs="黑体"/>
          <w:color w:val="auto"/>
          <w:sz w:val="32"/>
          <w:szCs w:val="32"/>
          <w:highlight w:val="none"/>
        </w:rPr>
        <w:t>机构设置</w:t>
      </w:r>
      <w:bookmarkEnd w:id="14"/>
      <w:bookmarkEnd w:id="15"/>
      <w:bookmarkEnd w:id="16"/>
      <w:bookmarkEnd w:id="17"/>
      <w:bookmarkEnd w:id="18"/>
      <w:r>
        <w:rPr>
          <w:rFonts w:hint="eastAsia" w:ascii="黑体" w:hAnsi="黑体" w:eastAsia="黑体" w:cs="黑体"/>
          <w:color w:val="auto"/>
          <w:sz w:val="32"/>
          <w:szCs w:val="32"/>
          <w:highlight w:val="none"/>
          <w:lang w:val="en-US" w:eastAsia="zh-CN"/>
        </w:rPr>
        <w:t>情况</w:t>
      </w:r>
    </w:p>
    <w:p>
      <w:pPr>
        <w:spacing w:line="578" w:lineRule="exact"/>
        <w:ind w:firstLine="640" w:firstLineChars="200"/>
        <w:rPr>
          <w:rFonts w:hint="eastAsia" w:ascii="仿宋_GB2312" w:hAnsi="ˎ̥" w:eastAsia="仿宋_GB2312"/>
          <w:color w:val="auto"/>
          <w:sz w:val="32"/>
          <w:szCs w:val="32"/>
          <w:highlight w:val="none"/>
          <w:lang w:val="en-US" w:eastAsia="zh-CN"/>
        </w:rPr>
      </w:pPr>
      <w:bookmarkStart w:id="19" w:name="_Toc24421_WPSOffice_Level2"/>
      <w:bookmarkStart w:id="20" w:name="_Toc25738_WPSOffice_Level2"/>
      <w:r>
        <w:rPr>
          <w:rFonts w:hint="eastAsia" w:ascii="仿宋_GB2312" w:hAnsi="ˎ̥" w:eastAsia="仿宋_GB2312"/>
          <w:color w:val="auto"/>
          <w:sz w:val="32"/>
          <w:szCs w:val="32"/>
          <w:highlight w:val="none"/>
          <w:lang w:val="en-US" w:eastAsia="zh-CN"/>
        </w:rPr>
        <w:t>申扎县应急管理局，单位性质为正科级，社会兴勇代码为：11542426MB1D684049，人员编制3人，行政编制3人，无事业编制。我局设置综合办公室。</w:t>
      </w:r>
    </w:p>
    <w:p>
      <w:pPr>
        <w:pStyle w:val="2"/>
        <w:rPr>
          <w:rFonts w:hint="default"/>
          <w:lang w:val="en-US" w:eastAsia="zh-CN"/>
        </w:rPr>
      </w:pPr>
      <w:r>
        <w:rPr>
          <w:rFonts w:hint="eastAsia" w:ascii="黑体" w:hAnsi="黑体" w:eastAsia="黑体" w:cs="黑体"/>
          <w:color w:val="auto"/>
          <w:sz w:val="32"/>
          <w:szCs w:val="32"/>
          <w:highlight w:val="none"/>
          <w:lang w:val="en-US" w:eastAsia="zh-CN"/>
        </w:rPr>
        <w:t>三、部门预算构成</w:t>
      </w:r>
    </w:p>
    <w:bookmarkEnd w:id="19"/>
    <w:bookmarkEnd w:id="20"/>
    <w:p>
      <w:pPr>
        <w:spacing w:line="578" w:lineRule="exact"/>
        <w:ind w:firstLine="640" w:firstLineChars="200"/>
        <w:rPr>
          <w:rFonts w:hint="default" w:ascii="仿宋_GB2312" w:hAnsi="ˎ̥" w:eastAsia="仿宋_GB2312"/>
          <w:color w:val="auto"/>
          <w:sz w:val="32"/>
          <w:szCs w:val="32"/>
          <w:highlight w:val="none"/>
          <w:lang w:val="en-US" w:eastAsia="zh-CN"/>
        </w:rPr>
      </w:pPr>
      <w:bookmarkStart w:id="21" w:name="_Toc30451_WPSOffice_Level1"/>
      <w:bookmarkStart w:id="22" w:name="_Toc8164_WPSOffice_Level1"/>
      <w:bookmarkStart w:id="23" w:name="_Toc15521_WPSOffice_Level1"/>
      <w:bookmarkStart w:id="24" w:name="_Toc28253_WPSOffice_Level1"/>
      <w:bookmarkStart w:id="25" w:name="_Toc6234_WPSOffice_Level1"/>
      <w:bookmarkStart w:id="26" w:name="_Toc30690_WPSOffice_Level1"/>
      <w:bookmarkStart w:id="27" w:name="_Toc6211_WPSOffice_Level2"/>
      <w:bookmarkStart w:id="28" w:name="_Toc32695_WPSOffice_Level2"/>
      <w:bookmarkStart w:id="29" w:name="_Toc32472_WPSOffice_Level2"/>
      <w:bookmarkStart w:id="30" w:name="_Toc4029_WPSOffice_Level2"/>
      <w:bookmarkStart w:id="31" w:name="_Toc8867_WPSOffice_Level2"/>
      <w:bookmarkStart w:id="32" w:name="_Toc11518_WPSOffice_Level2"/>
      <w:r>
        <w:rPr>
          <w:rFonts w:hint="eastAsia" w:ascii="仿宋_GB2312" w:hAnsi="ˎ̥" w:eastAsia="仿宋_GB2312"/>
          <w:color w:val="auto"/>
          <w:sz w:val="32"/>
          <w:szCs w:val="32"/>
          <w:highlight w:val="none"/>
          <w:lang w:val="en-US" w:eastAsia="zh-CN"/>
        </w:rPr>
        <w:t>本单位无下属单位，部门预算为申扎县应急管理局部门预算。2024年我局在职人员5人，其中：局长1人，副局长2人，九级职员2人。</w:t>
      </w:r>
    </w:p>
    <w:p>
      <w:pPr>
        <w:spacing w:line="578" w:lineRule="exact"/>
        <w:jc w:val="center"/>
        <w:rPr>
          <w:rFonts w:hint="eastAsia" w:ascii="黑体" w:hAnsi="ˎ̥" w:eastAsia="黑体"/>
          <w:color w:val="auto"/>
          <w:sz w:val="32"/>
          <w:szCs w:val="32"/>
          <w:highlight w:val="none"/>
        </w:rPr>
      </w:pPr>
    </w:p>
    <w:p>
      <w:pPr>
        <w:spacing w:line="578" w:lineRule="exact"/>
        <w:ind w:firstLine="1920" w:firstLineChars="600"/>
        <w:jc w:val="both"/>
        <w:rPr>
          <w:rFonts w:hint="eastAsia" w:ascii="黑体" w:hAnsi="ˎ̥" w:eastAsia="黑体"/>
          <w:color w:val="auto"/>
          <w:sz w:val="32"/>
          <w:szCs w:val="32"/>
          <w:highlight w:val="none"/>
        </w:rPr>
      </w:pPr>
    </w:p>
    <w:p>
      <w:pPr>
        <w:spacing w:line="578" w:lineRule="exact"/>
        <w:ind w:firstLine="1920" w:firstLineChars="600"/>
        <w:jc w:val="both"/>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rPr>
      </w:pPr>
    </w:p>
    <w:p>
      <w:pPr>
        <w:spacing w:line="578" w:lineRule="exact"/>
        <w:ind w:firstLine="1920" w:firstLineChars="600"/>
        <w:jc w:val="both"/>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highlight w:val="none"/>
        </w:rPr>
      </w:pPr>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highlight w:val="none"/>
        </w:rPr>
      </w:pPr>
      <w:bookmarkStart w:id="33" w:name="_Toc28622_WPSOffice_Level2"/>
      <w:bookmarkStart w:id="34" w:name="_Toc14349_WPSOffice_Level2"/>
      <w:bookmarkStart w:id="35" w:name="_Toc23139_WPSOffice_Level2"/>
      <w:bookmarkStart w:id="36" w:name="_Toc25608_WPSOffice_Level2"/>
      <w:bookmarkStart w:id="37" w:name="_Toc30334_WPSOffice_Level2"/>
      <w:bookmarkStart w:id="38" w:name="_Toc26621_WPSOffice_Level2"/>
      <w:r>
        <w:rPr>
          <w:rFonts w:hint="eastAsia" w:ascii="黑体" w:hAnsi="黑体" w:eastAsia="黑体" w:cs="黑体"/>
          <w:color w:val="auto"/>
          <w:sz w:val="32"/>
          <w:szCs w:val="32"/>
          <w:highlight w:val="none"/>
        </w:rPr>
        <w:t>二、收入决算公开表</w:t>
      </w:r>
      <w:bookmarkEnd w:id="33"/>
      <w:bookmarkEnd w:id="34"/>
      <w:bookmarkEnd w:id="35"/>
      <w:bookmarkEnd w:id="36"/>
      <w:bookmarkEnd w:id="37"/>
      <w:bookmarkEnd w:id="38"/>
      <w:bookmarkStart w:id="39" w:name="_Toc17858_WPSOffice_Level2"/>
      <w:bookmarkStart w:id="40" w:name="_Toc3262_WPSOffice_Level2"/>
      <w:bookmarkStart w:id="41" w:name="_Toc13854_WPSOffice_Level2"/>
      <w:bookmarkStart w:id="42" w:name="_Toc17626_WPSOffice_Level2"/>
      <w:bookmarkStart w:id="43" w:name="_Toc14658_WPSOffice_Level2"/>
      <w:bookmarkStart w:id="44" w:name="_Toc5489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三、支出决算公开表</w:t>
      </w:r>
      <w:bookmarkEnd w:id="39"/>
      <w:bookmarkEnd w:id="40"/>
      <w:bookmarkEnd w:id="41"/>
      <w:bookmarkEnd w:id="42"/>
      <w:bookmarkEnd w:id="43"/>
      <w:bookmarkEnd w:id="44"/>
      <w:bookmarkStart w:id="45" w:name="_Toc7988_WPSOffice_Level2"/>
      <w:bookmarkStart w:id="46" w:name="_Toc13701_WPSOffice_Level2"/>
      <w:bookmarkStart w:id="47" w:name="_Toc4265_WPSOffice_Level2"/>
      <w:bookmarkStart w:id="48" w:name="_Toc23493_WPSOffice_Level2"/>
      <w:bookmarkStart w:id="49" w:name="_Toc21415_WPSOffice_Level2"/>
      <w:bookmarkStart w:id="50" w:name="_Toc23591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highlight w:val="none"/>
        </w:rPr>
      </w:pPr>
      <w:bookmarkStart w:id="51" w:name="_Toc25166_WPSOffice_Level2"/>
      <w:bookmarkStart w:id="52" w:name="_Toc22783_WPSOffice_Level2"/>
      <w:bookmarkStart w:id="53" w:name="_Toc7879_WPSOffice_Level2"/>
      <w:bookmarkStart w:id="54" w:name="_Toc23829_WPSOffice_Level2"/>
      <w:bookmarkStart w:id="55" w:name="_Toc13516_WPSOffice_Level2"/>
      <w:bookmarkStart w:id="56" w:name="_Toc2158_WPSOffice_Level2"/>
      <w:r>
        <w:rPr>
          <w:rFonts w:hint="eastAsia" w:ascii="黑体" w:hAnsi="黑体" w:eastAsia="黑体" w:cs="黑体"/>
          <w:color w:val="auto"/>
          <w:sz w:val="32"/>
          <w:szCs w:val="32"/>
          <w:highlight w:val="none"/>
        </w:rPr>
        <w:t>五、一般公共预算财政拨款收入支出决算</w:t>
      </w:r>
      <w:bookmarkEnd w:id="51"/>
      <w:bookmarkEnd w:id="52"/>
      <w:bookmarkEnd w:id="53"/>
      <w:bookmarkEnd w:id="54"/>
      <w:r>
        <w:rPr>
          <w:rFonts w:hint="eastAsia" w:ascii="黑体" w:hAnsi="黑体" w:eastAsia="黑体" w:cs="黑体"/>
          <w:color w:val="auto"/>
          <w:sz w:val="32"/>
          <w:szCs w:val="32"/>
          <w:highlight w:val="none"/>
        </w:rPr>
        <w:t>公开表</w:t>
      </w:r>
      <w:bookmarkEnd w:id="55"/>
      <w:bookmarkEnd w:id="56"/>
      <w:bookmarkStart w:id="57" w:name="_Toc17283_WPSOffice_Level2"/>
      <w:bookmarkStart w:id="58" w:name="_Toc25362_WPSOffice_Level2"/>
      <w:bookmarkStart w:id="59" w:name="_Toc8373_WPSOffice_Level2"/>
      <w:bookmarkStart w:id="60" w:name="_Toc2632_WPSOffice_Level2"/>
      <w:bookmarkStart w:id="61" w:name="_Toc17833_WPSOffice_Level2"/>
      <w:bookmarkStart w:id="62" w:name="_Toc5343_WPSOffice_Level2"/>
    </w:p>
    <w:p>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highlight w:val="none"/>
        </w:rPr>
        <w:t>公开表</w:t>
      </w:r>
    </w:p>
    <w:p>
      <w:pPr>
        <w:spacing w:line="578" w:lineRule="exact"/>
        <w:ind w:left="1118" w:leftChars="304" w:hanging="480" w:hangingChars="150"/>
        <w:rPr>
          <w:rFonts w:hint="eastAsia" w:ascii="黑体" w:hAnsi="黑体" w:eastAsia="黑体" w:cs="黑体"/>
          <w:color w:val="auto"/>
          <w:sz w:val="32"/>
          <w:szCs w:val="32"/>
          <w:highlight w:val="none"/>
        </w:rPr>
      </w:pPr>
      <w:bookmarkStart w:id="63" w:name="_Toc13345_WPSOffice_Level2"/>
      <w:bookmarkStart w:id="64" w:name="_Toc5594_WPSOffice_Level2"/>
      <w:bookmarkStart w:id="65" w:name="_Toc1533_WPSOffice_Level2"/>
      <w:bookmarkStart w:id="66" w:name="_Toc21310_WPSOffice_Level2"/>
      <w:bookmarkStart w:id="67" w:name="_Toc11799_WPSOffice_Level2"/>
      <w:bookmarkStart w:id="68" w:name="_Toc6020_WPSOffice_Level2"/>
      <w:r>
        <w:rPr>
          <w:rFonts w:hint="eastAsia" w:ascii="黑体" w:hAnsi="黑体" w:eastAsia="黑体" w:cs="黑体"/>
          <w:color w:val="auto"/>
          <w:sz w:val="32"/>
          <w:szCs w:val="32"/>
          <w:highlight w:val="none"/>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highlight w:val="none"/>
        </w:rPr>
        <w:t>公开表</w:t>
      </w:r>
    </w:p>
    <w:p>
      <w:pPr>
        <w:spacing w:line="578" w:lineRule="exact"/>
        <w:ind w:left="1118" w:leftChars="304" w:hanging="480" w:hangingChars="15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八、国有资本经营预算财政拨款收入支出决算公开表</w:t>
      </w:r>
    </w:p>
    <w:p>
      <w:pPr>
        <w:spacing w:line="578" w:lineRule="exact"/>
        <w:ind w:firstLine="640"/>
        <w:rPr>
          <w:rFonts w:hint="eastAsia" w:ascii="黑体" w:hAnsi="黑体" w:eastAsia="黑体" w:cs="黑体"/>
          <w:color w:val="auto"/>
          <w:sz w:val="32"/>
          <w:szCs w:val="32"/>
          <w:highlight w:val="none"/>
        </w:rPr>
      </w:pPr>
      <w:bookmarkStart w:id="69" w:name="_Toc1820_WPSOffice_Level2"/>
      <w:bookmarkStart w:id="70" w:name="_Toc9377_WPSOffice_Level2"/>
      <w:bookmarkStart w:id="71" w:name="_Toc29886_WPSOffice_Level2"/>
      <w:bookmarkStart w:id="72" w:name="_Toc19961_WPSOffice_Level2"/>
      <w:r>
        <w:rPr>
          <w:rFonts w:hint="eastAsia" w:ascii="黑体" w:hAnsi="黑体" w:eastAsia="黑体" w:cs="黑体"/>
          <w:color w:val="auto"/>
          <w:sz w:val="32"/>
          <w:szCs w:val="32"/>
          <w:highlight w:val="none"/>
        </w:rPr>
        <w:t>九、财政拨款“三公”经费支出决算</w:t>
      </w:r>
      <w:bookmarkEnd w:id="69"/>
      <w:bookmarkEnd w:id="70"/>
      <w:bookmarkEnd w:id="71"/>
      <w:bookmarkEnd w:id="72"/>
      <w:r>
        <w:rPr>
          <w:rFonts w:hint="eastAsia" w:ascii="黑体" w:hAnsi="黑体" w:eastAsia="黑体" w:cs="黑体"/>
          <w:color w:val="auto"/>
          <w:sz w:val="32"/>
          <w:szCs w:val="32"/>
          <w:highlight w:val="none"/>
        </w:rPr>
        <w:t>公开表</w:t>
      </w:r>
    </w:p>
    <w:p>
      <w:pPr>
        <w:spacing w:line="578" w:lineRule="exact"/>
        <w:ind w:firstLine="640"/>
        <w:rPr>
          <w:rFonts w:hint="eastAsia" w:ascii="仿宋" w:hAnsi="仿宋" w:eastAsia="仿宋" w:cs="仿宋"/>
          <w:color w:val="auto"/>
          <w:w w:val="100"/>
          <w:sz w:val="32"/>
          <w:szCs w:val="32"/>
          <w:highlight w:val="none"/>
        </w:rPr>
      </w:pPr>
      <w:r>
        <w:rPr>
          <w:rFonts w:hint="eastAsia" w:ascii="仿宋" w:hAnsi="仿宋" w:eastAsia="仿宋" w:cs="仿宋"/>
          <w:color w:val="auto"/>
          <w:w w:val="100"/>
          <w:sz w:val="32"/>
          <w:szCs w:val="32"/>
          <w:highlight w:val="none"/>
        </w:rPr>
        <w:t xml:space="preserve">以上报表见附件1。   </w:t>
      </w:r>
    </w:p>
    <w:p>
      <w:pPr>
        <w:spacing w:line="578" w:lineRule="exact"/>
        <w:rPr>
          <w:rFonts w:hint="eastAsia" w:ascii="黑体" w:hAnsi="黑体" w:eastAsia="黑体" w:cs="黑体"/>
          <w:color w:val="auto"/>
          <w:sz w:val="32"/>
          <w:szCs w:val="32"/>
          <w:highlight w:val="none"/>
        </w:rPr>
      </w:pPr>
    </w:p>
    <w:p>
      <w:pPr>
        <w:pStyle w:val="2"/>
        <w:rPr>
          <w:rFonts w:hint="eastAsia" w:ascii="黑体" w:hAnsi="黑体" w:eastAsia="黑体" w:cs="黑体"/>
          <w:color w:val="auto"/>
          <w:sz w:val="32"/>
          <w:szCs w:val="32"/>
          <w:highlight w:val="none"/>
        </w:rPr>
      </w:pPr>
    </w:p>
    <w:p>
      <w:pPr>
        <w:rPr>
          <w:rFonts w:hint="eastAsia" w:ascii="黑体" w:hAnsi="黑体" w:eastAsia="黑体" w:cs="黑体"/>
          <w:color w:val="auto"/>
          <w:sz w:val="32"/>
          <w:szCs w:val="32"/>
          <w:highlight w:val="none"/>
        </w:rPr>
      </w:pPr>
    </w:p>
    <w:p>
      <w:pPr>
        <w:pStyle w:val="2"/>
        <w:rPr>
          <w:rFonts w:hint="eastAsia" w:ascii="黑体" w:hAnsi="黑体" w:eastAsia="黑体" w:cs="黑体"/>
          <w:color w:val="auto"/>
          <w:sz w:val="32"/>
          <w:szCs w:val="32"/>
          <w:highlight w:val="none"/>
        </w:rPr>
      </w:pPr>
    </w:p>
    <w:p>
      <w:pPr>
        <w:rPr>
          <w:rFonts w:hint="eastAsia" w:ascii="黑体" w:hAnsi="黑体" w:eastAsia="黑体" w:cs="黑体"/>
          <w:color w:val="auto"/>
          <w:sz w:val="32"/>
          <w:szCs w:val="32"/>
          <w:highlight w:val="none"/>
        </w:rPr>
      </w:pPr>
    </w:p>
    <w:p>
      <w:pPr>
        <w:pStyle w:val="2"/>
        <w:rPr>
          <w:rFonts w:hint="eastAsia" w:ascii="黑体" w:hAnsi="黑体" w:eastAsia="黑体" w:cs="黑体"/>
          <w:color w:val="auto"/>
          <w:sz w:val="32"/>
          <w:szCs w:val="32"/>
          <w:highlight w:val="none"/>
        </w:rPr>
      </w:pPr>
    </w:p>
    <w:p>
      <w:pPr>
        <w:rPr>
          <w:rFonts w:hint="eastAsia" w:ascii="黑体" w:hAnsi="黑体" w:eastAsia="黑体" w:cs="黑体"/>
          <w:color w:val="auto"/>
          <w:sz w:val="32"/>
          <w:szCs w:val="32"/>
          <w:highlight w:val="none"/>
        </w:rPr>
      </w:pPr>
    </w:p>
    <w:p>
      <w:pPr>
        <w:pStyle w:val="2"/>
        <w:rPr>
          <w:rFonts w:hint="eastAsia" w:ascii="黑体" w:hAnsi="黑体" w:eastAsia="黑体" w:cs="黑体"/>
          <w:color w:val="auto"/>
          <w:sz w:val="32"/>
          <w:szCs w:val="32"/>
          <w:highlight w:val="none"/>
        </w:rPr>
      </w:pPr>
    </w:p>
    <w:p>
      <w:pPr>
        <w:rPr>
          <w:rFonts w:hint="eastAsia"/>
        </w:rPr>
      </w:pPr>
    </w:p>
    <w:p>
      <w:pPr>
        <w:rPr>
          <w:rFonts w:hint="eastAsia"/>
        </w:rPr>
      </w:pPr>
    </w:p>
    <w:p>
      <w:pPr>
        <w:spacing w:line="578" w:lineRule="exact"/>
        <w:jc w:val="center"/>
        <w:rPr>
          <w:rFonts w:hint="eastAsia" w:ascii="黑体" w:hAnsi="ˎ̥" w:eastAsia="黑体"/>
          <w:color w:val="auto"/>
          <w:sz w:val="32"/>
          <w:szCs w:val="32"/>
          <w:highlight w:val="none"/>
        </w:rPr>
      </w:pPr>
      <w:bookmarkStart w:id="73" w:name="_Toc27590_WPSOffice_Level1"/>
      <w:bookmarkStart w:id="74" w:name="_Toc29683_WPSOffice_Level1"/>
      <w:bookmarkStart w:id="75" w:name="_Toc28629_WPSOffice_Level1"/>
      <w:bookmarkStart w:id="76" w:name="_Toc31264_WPSOffice_Level1"/>
      <w:bookmarkStart w:id="77" w:name="_Toc16686_WPSOffice_Level1"/>
      <w:bookmarkStart w:id="78" w:name="_Toc4402_WPSOffice_Level1"/>
      <w:r>
        <w:rPr>
          <w:rFonts w:hint="eastAsia" w:ascii="黑体" w:hAnsi="ˎ̥" w:eastAsia="黑体"/>
          <w:color w:val="auto"/>
          <w:sz w:val="32"/>
          <w:szCs w:val="32"/>
          <w:highlight w:val="none"/>
        </w:rPr>
        <w:t xml:space="preserve">第三部分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黑体" w:hAnsi="黑体" w:eastAsia="黑体" w:cs="黑体"/>
          <w:bCs/>
          <w:color w:val="auto"/>
          <w:sz w:val="32"/>
          <w:szCs w:val="32"/>
          <w:highlight w:val="none"/>
        </w:rPr>
        <w:t>收入支出总体情况说明</w:t>
      </w:r>
      <w:r>
        <w:rPr>
          <w:rFonts w:hint="eastAsia" w:ascii="黑体" w:hAnsi="黑体" w:eastAsia="黑体" w:cs="黑体"/>
          <w:bCs/>
          <w:color w:val="auto"/>
          <w:sz w:val="32"/>
          <w:szCs w:val="32"/>
          <w:highlight w:val="none"/>
        </w:rPr>
        <w:br w:type="textWrapping"/>
      </w:r>
      <w:r>
        <w:rPr>
          <w:rFonts w:hint="eastAsia" w:ascii="楷体_GB2312" w:hAnsi="ˎ̥" w:eastAsia="楷体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年度收入总计356.40万元，支出总计</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年度相比，收入增加</w:t>
      </w:r>
      <w:r>
        <w:rPr>
          <w:rFonts w:hint="eastAsia" w:ascii="仿宋_GB2312" w:hAnsi="ˎ̥" w:eastAsia="仿宋_GB2312"/>
          <w:color w:val="auto"/>
          <w:sz w:val="32"/>
          <w:szCs w:val="32"/>
          <w:highlight w:val="none"/>
          <w:lang w:val="en-US" w:eastAsia="zh-CN"/>
        </w:rPr>
        <w:t>140.15</w:t>
      </w:r>
      <w:r>
        <w:rPr>
          <w:rFonts w:hint="eastAsia" w:ascii="仿宋_GB2312" w:hAnsi="ˎ̥" w:eastAsia="仿宋_GB2312"/>
          <w:color w:val="auto"/>
          <w:sz w:val="32"/>
          <w:szCs w:val="32"/>
          <w:highlight w:val="none"/>
        </w:rPr>
        <w:t>万元、支出</w:t>
      </w:r>
      <w:r>
        <w:rPr>
          <w:rFonts w:hint="eastAsia" w:ascii="仿宋_GB2312" w:hAnsi="ˎ̥" w:eastAsia="仿宋_GB2312"/>
          <w:color w:val="auto"/>
          <w:sz w:val="32"/>
          <w:szCs w:val="32"/>
          <w:highlight w:val="none"/>
          <w:lang w:val="en-US" w:eastAsia="zh-CN"/>
        </w:rPr>
        <w:t>增加140.15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0.39</w:t>
      </w:r>
      <w:r>
        <w:rPr>
          <w:rFonts w:hint="eastAsia" w:ascii="仿宋_GB2312" w:hAnsi="ˎ̥" w:eastAsia="仿宋_GB2312"/>
          <w:color w:val="auto"/>
          <w:sz w:val="32"/>
          <w:szCs w:val="32"/>
          <w:highlight w:val="none"/>
        </w:rPr>
        <w:t>%。主要原因：</w:t>
      </w:r>
      <w:r>
        <w:rPr>
          <w:rFonts w:hint="eastAsia" w:ascii="仿宋_GB2312" w:hAnsi="ˎ̥" w:eastAsia="仿宋_GB2312"/>
          <w:color w:val="auto"/>
          <w:sz w:val="32"/>
          <w:szCs w:val="32"/>
          <w:highlight w:val="none"/>
          <w:lang w:val="en-US" w:eastAsia="zh-CN"/>
        </w:rPr>
        <w:t>因消防项目预算在本单位，从而财政拨款收入也跟随增加。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收入</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本年</w:t>
      </w:r>
      <w:r>
        <w:rPr>
          <w:rFonts w:ascii="仿宋_GB2312" w:hAnsi="ˎ̥" w:eastAsia="仿宋_GB2312"/>
          <w:color w:val="auto"/>
          <w:sz w:val="32"/>
          <w:szCs w:val="32"/>
          <w:highlight w:val="none"/>
        </w:rPr>
        <w:t>收入</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万元。使用非财政拨款结余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w:t>
      </w:r>
      <w:r>
        <w:rPr>
          <w:rFonts w:hint="eastAsia" w:ascii="仿宋_GB2312" w:hAnsi="ˎ̥" w:eastAsia="仿宋_GB2312"/>
          <w:color w:val="auto"/>
          <w:sz w:val="32"/>
          <w:szCs w:val="32"/>
          <w:highlight w:val="none"/>
          <w:lang w:val="en-US" w:eastAsia="zh-CN"/>
        </w:rPr>
        <w:t>140.15</w:t>
      </w:r>
      <w:r>
        <w:rPr>
          <w:rFonts w:hint="eastAsia" w:ascii="仿宋_GB2312" w:hAnsi="ˎ̥" w:eastAsia="仿宋_GB2312"/>
          <w:color w:val="auto"/>
          <w:sz w:val="32"/>
          <w:szCs w:val="32"/>
          <w:highlight w:val="none"/>
        </w:rPr>
        <w:t>万元，主要原因是</w:t>
      </w:r>
      <w:r>
        <w:rPr>
          <w:rFonts w:hint="eastAsia" w:ascii="仿宋_GB2312" w:hAnsi="ˎ̥" w:eastAsia="仿宋_GB2312"/>
          <w:color w:val="auto"/>
          <w:sz w:val="32"/>
          <w:szCs w:val="32"/>
          <w:highlight w:val="none"/>
          <w:lang w:val="en-US" w:eastAsia="zh-CN"/>
        </w:rPr>
        <w:t>因消防项目预算在本单位，从而财政拨款收入也跟随增加</w:t>
      </w:r>
      <w:r>
        <w:rPr>
          <w:rFonts w:hint="eastAsia" w:ascii="仿宋_GB2312" w:hAnsi="ˎ̥" w:eastAsia="仿宋_GB2312"/>
          <w:color w:val="auto"/>
          <w:sz w:val="32"/>
          <w:szCs w:val="32"/>
          <w:highlight w:val="none"/>
        </w:rPr>
        <w:t>。年初结转结余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rPr>
        <w:t>（二</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支出</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万元。结余分配</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%。年末结转结余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年度相关决算数据可取自附件财决公开01、02</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03</w:t>
      </w:r>
      <w:r>
        <w:rPr>
          <w:rFonts w:hint="eastAsia" w:ascii="仿宋_GB2312" w:hAnsi="ˎ̥" w:eastAsia="仿宋_GB2312"/>
          <w:color w:val="auto"/>
          <w:sz w:val="32"/>
          <w:szCs w:val="32"/>
          <w:highlight w:val="none"/>
        </w:rPr>
        <w:t>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年度相关决算数据可取自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年度部门决算报表财决01表《收入支出决算总表》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黑体" w:hAnsi="黑体" w:eastAsia="黑体" w:cs="黑体"/>
          <w:bCs/>
          <w:color w:val="auto"/>
          <w:sz w:val="32"/>
          <w:szCs w:val="32"/>
          <w:highlight w:val="none"/>
        </w:rPr>
        <w:t>二、收入决算情况说明</w:t>
      </w:r>
      <w:r>
        <w:rPr>
          <w:rFonts w:hint="eastAsia" w:ascii="黑体" w:hAnsi="黑体" w:eastAsia="黑体" w:cs="黑体"/>
          <w:bCs/>
          <w:color w:val="auto"/>
          <w:sz w:val="32"/>
          <w:szCs w:val="32"/>
          <w:highlight w:val="none"/>
        </w:rPr>
        <w:br w:type="textWrapping"/>
      </w:r>
      <w:r>
        <w:rPr>
          <w:rFonts w:hint="eastAsia" w:ascii="仿宋_GB2312" w:hAnsi="ˎ̥" w:eastAsia="仿宋_GB2312"/>
          <w:color w:val="auto"/>
          <w:sz w:val="32"/>
          <w:szCs w:val="32"/>
          <w:highlight w:val="none"/>
        </w:rPr>
        <w:t xml:space="preserve">    本年收入</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万元，其中：财政拨款收入</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%；上级补助收入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%；事业收入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%；经营收入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%；附属单位上缴收入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%；其他收入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上述各项收入数可取自财决公开02表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本年支出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万元，其中：社会保障和就业支出17.29万元，占</w:t>
      </w:r>
      <w:r>
        <w:rPr>
          <w:rFonts w:hint="eastAsia" w:ascii="仿宋_GB2312" w:hAnsi="ˎ̥" w:eastAsia="仿宋_GB2312"/>
          <w:color w:val="auto"/>
          <w:sz w:val="32"/>
          <w:szCs w:val="32"/>
          <w:highlight w:val="none"/>
          <w:lang w:val="en-US" w:eastAsia="zh-CN"/>
        </w:rPr>
        <w:t>0.11</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卫生健康支出9.75万元，占0.03%；住房保障支出11.89万元，占0.03%；灾害防治及应急管理支出287.07万元，占0.8%。</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上述各项支出数可取自财决公开03表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年度财政拨款收入</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万元，支出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年度相比，财政拨款收入增加</w:t>
      </w:r>
      <w:r>
        <w:rPr>
          <w:rFonts w:hint="eastAsia" w:ascii="仿宋_GB2312" w:hAnsi="ˎ̥" w:eastAsia="仿宋_GB2312"/>
          <w:color w:val="auto"/>
          <w:sz w:val="32"/>
          <w:szCs w:val="32"/>
          <w:highlight w:val="none"/>
          <w:lang w:val="en-US" w:eastAsia="zh-CN"/>
        </w:rPr>
        <w:t>140.15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0.39</w:t>
      </w:r>
      <w:r>
        <w:rPr>
          <w:rFonts w:hint="eastAsia" w:ascii="仿宋_GB2312" w:hAnsi="ˎ̥" w:eastAsia="仿宋_GB2312"/>
          <w:color w:val="auto"/>
          <w:sz w:val="32"/>
          <w:szCs w:val="32"/>
          <w:highlight w:val="none"/>
        </w:rPr>
        <w:t>%，主要原因</w:t>
      </w:r>
      <w:r>
        <w:rPr>
          <w:rFonts w:hint="eastAsia" w:ascii="仿宋_GB2312" w:hAnsi="ˎ̥" w:eastAsia="仿宋_GB2312"/>
          <w:color w:val="auto"/>
          <w:sz w:val="32"/>
          <w:szCs w:val="32"/>
          <w:highlight w:val="none"/>
          <w:lang w:val="en-US" w:eastAsia="zh-CN"/>
        </w:rPr>
        <w:t>消防救援大队项目资金在本单位，从而财政拨款收入也跟随增加</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42.24</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0.11</w:t>
      </w:r>
      <w:r>
        <w:rPr>
          <w:rFonts w:hint="eastAsia" w:ascii="仿宋_GB2312" w:hAnsi="ˎ̥" w:eastAsia="仿宋_GB2312"/>
          <w:color w:val="auto"/>
          <w:sz w:val="32"/>
          <w:szCs w:val="32"/>
          <w:highlight w:val="none"/>
        </w:rPr>
        <w:t>%，主要原因：</w:t>
      </w:r>
      <w:r>
        <w:rPr>
          <w:rFonts w:hint="eastAsia" w:ascii="仿宋_GB2312" w:hAnsi="ˎ̥" w:eastAsia="仿宋_GB2312"/>
          <w:color w:val="auto"/>
          <w:sz w:val="32"/>
          <w:szCs w:val="32"/>
          <w:highlight w:val="none"/>
          <w:lang w:val="en-US" w:eastAsia="zh-CN"/>
        </w:rPr>
        <w:t>防救援大队项目资金在本单位，从而财政拨款收入也跟随增加。</w:t>
      </w:r>
      <w:r>
        <w:rPr>
          <w:rFonts w:hint="eastAsia" w:ascii="仿宋_GB2312" w:hAnsi="ˎ̥" w:eastAsia="仿宋_GB2312"/>
          <w:color w:val="auto"/>
          <w:sz w:val="32"/>
          <w:szCs w:val="32"/>
          <w:highlight w:val="none"/>
        </w:rPr>
        <w:t>财政拨款年初结转结余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%。财政拨款年末结转结余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年度决算数增加（减少）</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万元，增长（下降）</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年度决算相关数据可取自财决公开04表。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年度决算相关数据可取自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年度部门决算报表财决01-1表《财政拨款收入支出决算总表》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79" w:name="_Toc17398_WPSOffice_Level2"/>
      <w:bookmarkStart w:id="80" w:name="_Toc23005_WPSOffice_Level2"/>
      <w:bookmarkStart w:id="81" w:name="_Toc9989_WPSOffice_Level2"/>
      <w:bookmarkStart w:id="82" w:name="_Toc13694_WPSOffice_Level2"/>
      <w:bookmarkStart w:id="83" w:name="_Toc19665_WPSOffice_Level2"/>
      <w:bookmarkStart w:id="84" w:name="_Toc21737_WPSOffice_Level2"/>
      <w:r>
        <w:rPr>
          <w:rFonts w:hint="eastAsia" w:ascii="楷体" w:hAnsi="楷体" w:eastAsia="楷体" w:cs="楷体"/>
          <w:color w:val="auto"/>
          <w:sz w:val="32"/>
          <w:szCs w:val="32"/>
          <w:highlight w:val="none"/>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万元，占本年支出合计的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年度相比，一般公共预算财政拨款支出增加</w:t>
      </w:r>
      <w:r>
        <w:rPr>
          <w:rFonts w:hint="eastAsia" w:ascii="仿宋_GB2312" w:hAnsi="ˎ̥" w:eastAsia="仿宋_GB2312"/>
          <w:color w:val="auto"/>
          <w:sz w:val="32"/>
          <w:szCs w:val="32"/>
          <w:highlight w:val="none"/>
          <w:lang w:val="en-US" w:eastAsia="zh-CN"/>
        </w:rPr>
        <w:t>140.15</w:t>
      </w:r>
      <w:r>
        <w:rPr>
          <w:rFonts w:hint="eastAsia" w:ascii="仿宋_GB2312" w:hAnsi="ˎ̥" w:eastAsia="仿宋_GB2312"/>
          <w:color w:val="auto"/>
          <w:sz w:val="32"/>
          <w:szCs w:val="32"/>
          <w:highlight w:val="none"/>
        </w:rPr>
        <w:t>万元，增长</w:t>
      </w:r>
      <w:r>
        <w:rPr>
          <w:rFonts w:hint="eastAsia" w:ascii="仿宋_GB2312" w:hAnsi="ˎ̥" w:eastAsia="仿宋_GB2312"/>
          <w:color w:val="auto"/>
          <w:sz w:val="32"/>
          <w:szCs w:val="32"/>
          <w:highlight w:val="none"/>
          <w:lang w:val="en-US" w:eastAsia="zh-CN"/>
        </w:rPr>
        <w:t>0.11</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防救援大队项目资金在本单位，从而财政拨款收入也跟随增加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85" w:name="_Toc2711_WPSOffice_Level2"/>
      <w:bookmarkStart w:id="86" w:name="_Toc27767_WPSOffice_Level2"/>
      <w:bookmarkStart w:id="87" w:name="_Toc19535_WPSOffice_Level2"/>
      <w:bookmarkStart w:id="88" w:name="_Toc18793_WPSOffice_Level2"/>
      <w:bookmarkStart w:id="89" w:name="_Toc23864_WPSOffice_Level2"/>
      <w:bookmarkStart w:id="90" w:name="_Toc19075_WPSOffice_Level2"/>
      <w:r>
        <w:rPr>
          <w:rFonts w:hint="eastAsia" w:ascii="楷体" w:hAnsi="楷体" w:eastAsia="楷体" w:cs="楷体"/>
          <w:color w:val="auto"/>
          <w:sz w:val="32"/>
          <w:szCs w:val="32"/>
          <w:highlight w:val="none"/>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val="en-US"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万元，主要用于以下方面：社会保障和就业支出17.29万元，占</w:t>
      </w:r>
      <w:r>
        <w:rPr>
          <w:rFonts w:hint="eastAsia" w:ascii="仿宋_GB2312" w:hAnsi="ˎ̥" w:eastAsia="仿宋_GB2312"/>
          <w:color w:val="auto"/>
          <w:sz w:val="32"/>
          <w:szCs w:val="32"/>
          <w:highlight w:val="none"/>
          <w:lang w:val="en-US" w:eastAsia="zh-CN"/>
        </w:rPr>
        <w:t>0.11</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卫生健康支出9.75万元，占0.03%；住房保障支出11.89万元，占0.03%；灾害防治及应急管理支出287.07万元，占0.8%。</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91" w:name="_Toc25136_WPSOffice_Level2"/>
      <w:bookmarkStart w:id="92" w:name="_Toc21701_WPSOffice_Level2"/>
      <w:bookmarkStart w:id="93" w:name="_Toc22318_WPSOffice_Level2"/>
      <w:bookmarkStart w:id="94" w:name="_Toc9502_WPSOffice_Level2"/>
      <w:bookmarkStart w:id="95" w:name="_Toc29364_WPSOffice_Level2"/>
      <w:bookmarkStart w:id="96" w:name="_Toc15415_WPSOffice_Level2"/>
      <w:r>
        <w:rPr>
          <w:rFonts w:hint="eastAsia" w:ascii="楷体" w:hAnsi="楷体" w:eastAsia="楷体" w:cs="楷体"/>
          <w:color w:val="auto"/>
          <w:sz w:val="32"/>
          <w:szCs w:val="32"/>
          <w:highlight w:val="none"/>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年度一般公共预算财政拨款支出年初预算为</w:t>
      </w:r>
      <w:r>
        <w:rPr>
          <w:rFonts w:hint="eastAsia" w:ascii="仿宋_GB2312" w:hAnsi="ˎ̥" w:eastAsia="仿宋_GB2312"/>
          <w:color w:val="auto"/>
          <w:sz w:val="32"/>
          <w:szCs w:val="32"/>
          <w:highlight w:val="none"/>
          <w:lang w:val="en-US" w:eastAsia="zh-CN"/>
        </w:rPr>
        <w:t>395.42</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90.13</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highlight w:val="none"/>
        </w:rPr>
      </w:pPr>
      <w:r>
        <w:rPr>
          <w:rFonts w:hint="eastAsia" w:ascii="黑体" w:hAnsi="黑体" w:eastAsia="黑体" w:cs="黑体"/>
          <w:bCs/>
          <w:color w:val="auto"/>
          <w:sz w:val="32"/>
          <w:szCs w:val="32"/>
          <w:highlight w:val="none"/>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年度财政拨款基本支出</w:t>
      </w:r>
      <w:r>
        <w:rPr>
          <w:rFonts w:hint="eastAsia" w:ascii="仿宋_GB2312" w:hAnsi="ˎ̥" w:eastAsia="仿宋_GB2312"/>
          <w:color w:val="auto"/>
          <w:sz w:val="32"/>
          <w:szCs w:val="32"/>
          <w:highlight w:val="none"/>
          <w:lang w:val="en-US" w:eastAsia="zh-CN"/>
        </w:rPr>
        <w:t>356.4</w:t>
      </w:r>
      <w:r>
        <w:rPr>
          <w:rFonts w:hint="eastAsia" w:ascii="仿宋_GB2312" w:hAnsi="ˎ̥" w:eastAsia="仿宋_GB2312"/>
          <w:color w:val="auto"/>
          <w:sz w:val="32"/>
          <w:szCs w:val="32"/>
          <w:highlight w:val="none"/>
        </w:rPr>
        <w:t>万元，其中：人员经费</w:t>
      </w:r>
      <w:r>
        <w:rPr>
          <w:rFonts w:hint="eastAsia" w:ascii="仿宋_GB2312" w:hAnsi="ˎ̥" w:eastAsia="仿宋_GB2312"/>
          <w:color w:val="auto"/>
          <w:sz w:val="32"/>
          <w:szCs w:val="32"/>
          <w:highlight w:val="none"/>
          <w:lang w:val="en-US" w:eastAsia="zh-CN"/>
        </w:rPr>
        <w:t>164.45</w:t>
      </w:r>
      <w:r>
        <w:rPr>
          <w:rFonts w:hint="eastAsia" w:ascii="仿宋_GB2312" w:hAnsi="ˎ̥" w:eastAsia="仿宋_GB2312"/>
          <w:color w:val="auto"/>
          <w:sz w:val="32"/>
          <w:szCs w:val="32"/>
          <w:highlight w:val="none"/>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color w:val="auto"/>
          <w:sz w:val="32"/>
          <w:szCs w:val="32"/>
          <w:highlight w:val="none"/>
          <w:lang w:val="en-US" w:eastAsia="zh-CN"/>
        </w:rPr>
        <w:t>10.69</w:t>
      </w:r>
      <w:r>
        <w:rPr>
          <w:rFonts w:hint="eastAsia" w:ascii="仿宋_GB2312" w:hAnsi="ˎ̥" w:eastAsia="仿宋_GB2312"/>
          <w:color w:val="auto"/>
          <w:sz w:val="32"/>
          <w:szCs w:val="32"/>
          <w:highlight w:val="none"/>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highlight w:val="none"/>
          <w:lang w:val="en-US" w:eastAsia="zh-CN"/>
        </w:rPr>
        <w:t>购</w:t>
      </w:r>
      <w:r>
        <w:rPr>
          <w:rFonts w:hint="eastAsia" w:ascii="仿宋_GB2312" w:hAnsi="ˎ̥" w:eastAsia="仿宋_GB2312"/>
          <w:color w:val="auto"/>
          <w:sz w:val="32"/>
          <w:szCs w:val="32"/>
          <w:highlight w:val="none"/>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可取自财决公开06表，各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七、政府性基金预算财政拨款支出决算情况说明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val="en-US" w:eastAsia="zh-CN"/>
        </w:rPr>
        <w:t>无政府性基金预算。</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仿宋_GB2312" w:hAnsi="ˎ̥" w:eastAsia="仿宋_GB2312"/>
          <w:color w:val="auto"/>
          <w:sz w:val="32"/>
          <w:szCs w:val="32"/>
          <w:highlight w:val="none"/>
        </w:rPr>
        <w:t xml:space="preserve"> </w:t>
      </w:r>
      <w:r>
        <w:rPr>
          <w:rFonts w:hint="eastAsia" w:ascii="黑体" w:hAnsi="黑体" w:eastAsia="黑体" w:cs="黑体"/>
          <w:bCs/>
          <w:color w:val="auto"/>
          <w:sz w:val="32"/>
          <w:szCs w:val="32"/>
          <w:highlight w:val="none"/>
        </w:rPr>
        <w:t>八、国有资本经营预算财政拨款支出决算情况说明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val="en-US" w:eastAsia="zh-CN"/>
        </w:rPr>
        <w:t>无国有资本经营预算。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楷体_GB2312"/>
          <w:color w:val="auto"/>
          <w:sz w:val="32"/>
          <w:szCs w:val="32"/>
          <w:highlight w:val="none"/>
        </w:rPr>
      </w:pPr>
      <w:r>
        <w:rPr>
          <w:rFonts w:hint="eastAsia" w:ascii="黑体" w:hAnsi="黑体" w:eastAsia="黑体" w:cs="黑体"/>
          <w:bCs/>
          <w:color w:val="auto"/>
          <w:sz w:val="32"/>
          <w:szCs w:val="32"/>
          <w:highlight w:val="none"/>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年度财政拨款“三公”经费支出预算为</w:t>
      </w:r>
      <w:r>
        <w:rPr>
          <w:rFonts w:hint="eastAsia" w:ascii="仿宋_GB2312" w:hAnsi="ˎ̥" w:eastAsia="仿宋_GB2312"/>
          <w:color w:val="auto"/>
          <w:sz w:val="32"/>
          <w:szCs w:val="32"/>
          <w:highlight w:val="none"/>
          <w:lang w:val="en-US" w:eastAsia="zh-CN"/>
        </w:rPr>
        <w:t>1.23</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1.23</w:t>
      </w:r>
      <w:r>
        <w:rPr>
          <w:rFonts w:hint="eastAsia" w:ascii="仿宋_GB2312" w:hAnsi="ˎ̥" w:eastAsia="仿宋_GB2312"/>
          <w:color w:val="auto"/>
          <w:sz w:val="32"/>
          <w:szCs w:val="32"/>
          <w:highlight w:val="none"/>
        </w:rPr>
        <w:t>万元，完成预算的</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color w:val="auto"/>
          <w:sz w:val="32"/>
          <w:szCs w:val="32"/>
          <w:highlight w:val="none"/>
        </w:rPr>
        <w:t>“三公”经费支出</w:t>
      </w:r>
      <w:r>
        <w:rPr>
          <w:rFonts w:hint="eastAsia" w:ascii="仿宋_GB2312" w:hAnsi="ˎ̥" w:eastAsia="仿宋_GB2312"/>
          <w:color w:val="auto"/>
          <w:sz w:val="32"/>
          <w:szCs w:val="32"/>
          <w:highlight w:val="none"/>
          <w:lang w:val="en-US" w:eastAsia="zh-CN"/>
        </w:rPr>
        <w:t>减少0.01万</w:t>
      </w:r>
      <w:r>
        <w:rPr>
          <w:rFonts w:hint="eastAsia" w:ascii="仿宋_GB2312" w:hAnsi="ˎ̥" w:eastAsia="仿宋_GB2312"/>
          <w:color w:val="auto"/>
          <w:sz w:val="32"/>
          <w:szCs w:val="32"/>
          <w:highlight w:val="none"/>
        </w:rPr>
        <w:t>元</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减少0.008</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因人员调整，预算较少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highlight w:val="none"/>
        </w:rPr>
      </w:pPr>
      <w:r>
        <w:rPr>
          <w:rFonts w:hint="eastAsia" w:ascii="楷体" w:hAnsi="楷体" w:eastAsia="楷体" w:cs="楷体"/>
          <w:b/>
          <w:bCs/>
          <w:color w:val="auto"/>
          <w:sz w:val="32"/>
          <w:szCs w:val="32"/>
          <w:highlight w:val="none"/>
        </w:rPr>
        <w:t xml:space="preserve">   </w:t>
      </w:r>
      <w:r>
        <w:rPr>
          <w:rFonts w:hint="eastAsia" w:ascii="楷体" w:hAnsi="楷体" w:eastAsia="楷体" w:cs="楷体"/>
          <w:color w:val="auto"/>
          <w:sz w:val="32"/>
          <w:szCs w:val="32"/>
          <w:highlight w:val="none"/>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年度财政拨款“三公”经费支出决算中，因公出国（境）费支出决算</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%；公务用车购置及运行维护费支出决算</w:t>
      </w:r>
      <w:r>
        <w:rPr>
          <w:rFonts w:hint="eastAsia" w:ascii="仿宋_GB2312" w:hAnsi="ˎ̥" w:eastAsia="仿宋_GB2312"/>
          <w:color w:val="auto"/>
          <w:sz w:val="32"/>
          <w:szCs w:val="32"/>
          <w:highlight w:val="none"/>
          <w:lang w:val="en-US" w:eastAsia="zh-CN"/>
        </w:rPr>
        <w:t>1.23</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100</w:t>
      </w:r>
      <w:r>
        <w:rPr>
          <w:rFonts w:hint="eastAsia" w:ascii="仿宋_GB2312" w:hAnsi="ˎ̥" w:eastAsia="仿宋_GB2312"/>
          <w:color w:val="auto"/>
          <w:sz w:val="32"/>
          <w:szCs w:val="32"/>
          <w:highlight w:val="none"/>
        </w:rPr>
        <w:t>%；公务接待费支出决算</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lang w:val="en-US" w:eastAsia="zh-CN"/>
        </w:rPr>
        <w:t>1.</w:t>
      </w:r>
      <w:r>
        <w:rPr>
          <w:rFonts w:hint="eastAsia" w:ascii="仿宋_GB2312" w:hAnsi="ˎ̥" w:eastAsia="仿宋_GB2312"/>
          <w:b/>
          <w:color w:val="auto"/>
          <w:sz w:val="32"/>
          <w:szCs w:val="32"/>
          <w:highlight w:val="none"/>
        </w:rPr>
        <w:t>公务用车购置及运行维护费</w:t>
      </w:r>
      <w:r>
        <w:rPr>
          <w:rFonts w:hint="eastAsia" w:ascii="仿宋_GB2312" w:hAnsi="ˎ̥" w:eastAsia="仿宋_GB2312"/>
          <w:b w:val="0"/>
          <w:bCs/>
          <w:color w:val="auto"/>
          <w:sz w:val="32"/>
          <w:szCs w:val="32"/>
          <w:highlight w:val="none"/>
        </w:rPr>
        <w:t>支出</w:t>
      </w:r>
      <w:r>
        <w:rPr>
          <w:rFonts w:hint="eastAsia" w:ascii="仿宋_GB2312" w:hAnsi="ˎ̥" w:eastAsia="仿宋_GB2312"/>
          <w:color w:val="auto"/>
          <w:sz w:val="32"/>
          <w:szCs w:val="32"/>
          <w:highlight w:val="none"/>
          <w:lang w:val="en-US" w:eastAsia="zh-CN"/>
        </w:rPr>
        <w:t>1.23</w:t>
      </w:r>
      <w:r>
        <w:rPr>
          <w:rFonts w:hint="eastAsia" w:ascii="仿宋_GB2312" w:hAnsi="ˎ̥" w:eastAsia="仿宋_GB2312"/>
          <w:color w:val="auto"/>
          <w:sz w:val="32"/>
          <w:szCs w:val="32"/>
          <w:highlight w:val="none"/>
        </w:rPr>
        <w:t>万元。其中：</w:t>
      </w:r>
      <w:r>
        <w:rPr>
          <w:rFonts w:hint="eastAsia" w:ascii="仿宋_GB2312" w:hAnsi="ˎ̥" w:eastAsia="仿宋_GB2312"/>
          <w:b/>
          <w:color w:val="auto"/>
          <w:sz w:val="32"/>
          <w:szCs w:val="32"/>
          <w:highlight w:val="none"/>
        </w:rPr>
        <w:t>公务用车购置</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万元，全年购置公务用车</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辆，主年末公务用车保有量</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辆。</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lang w:val="en-US" w:eastAsia="zh-CN"/>
        </w:rPr>
        <w:t>2.</w:t>
      </w:r>
      <w:r>
        <w:rPr>
          <w:rFonts w:hint="eastAsia" w:ascii="仿宋_GB2312" w:hAnsi="ˎ̥" w:eastAsia="仿宋_GB2312"/>
          <w:b/>
          <w:color w:val="auto"/>
          <w:sz w:val="32"/>
          <w:szCs w:val="32"/>
          <w:highlight w:val="none"/>
        </w:rPr>
        <w:t>公务用车运行维护费</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1.23</w:t>
      </w:r>
      <w:r>
        <w:rPr>
          <w:rFonts w:hint="eastAsia" w:ascii="仿宋_GB2312" w:hAnsi="ˎ̥" w:eastAsia="仿宋_GB2312"/>
          <w:color w:val="auto"/>
          <w:sz w:val="32"/>
          <w:szCs w:val="32"/>
          <w:highlight w:val="none"/>
        </w:rPr>
        <w:t>万元，主要用于</w:t>
      </w:r>
      <w:r>
        <w:rPr>
          <w:rFonts w:hint="eastAsia" w:ascii="仿宋_GB2312" w:hAnsi="ˎ̥" w:eastAsia="仿宋_GB2312"/>
          <w:color w:val="auto"/>
          <w:sz w:val="32"/>
          <w:szCs w:val="32"/>
          <w:highlight w:val="none"/>
          <w:lang w:val="en-US" w:eastAsia="zh-CN"/>
        </w:rPr>
        <w:t>车辆维修及出差报销</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w:t>
      </w:r>
      <w:r>
        <w:rPr>
          <w:rFonts w:ascii="仿宋_GB2312" w:hAnsi="ˎ̥" w:eastAsia="仿宋_GB2312"/>
          <w:color w:val="auto"/>
          <w:sz w:val="32"/>
          <w:szCs w:val="32"/>
          <w:highlight w:val="none"/>
        </w:rPr>
        <w:t>数据</w:t>
      </w:r>
      <w:r>
        <w:rPr>
          <w:rFonts w:hint="eastAsia" w:ascii="仿宋_GB2312" w:hAnsi="ˎ̥" w:eastAsia="仿宋_GB2312"/>
          <w:color w:val="auto"/>
          <w:sz w:val="32"/>
          <w:szCs w:val="32"/>
          <w:highlight w:val="none"/>
        </w:rPr>
        <w:t>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部门决算报表</w:t>
      </w:r>
      <w:r>
        <w:rPr>
          <w:rFonts w:hint="eastAsia" w:ascii="仿宋_GB2312" w:hAnsi="ˎ̥" w:eastAsia="仿宋_GB2312"/>
          <w:color w:val="auto"/>
          <w:sz w:val="32"/>
          <w:szCs w:val="32"/>
          <w:highlight w:val="none"/>
        </w:rPr>
        <w:t>F03表《机构</w:t>
      </w:r>
      <w:r>
        <w:rPr>
          <w:rFonts w:ascii="仿宋_GB2312" w:hAnsi="ˎ̥" w:eastAsia="仿宋_GB2312"/>
          <w:color w:val="auto"/>
          <w:sz w:val="32"/>
          <w:szCs w:val="32"/>
          <w:highlight w:val="none"/>
        </w:rPr>
        <w:t>运行信息表》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根据财政预算绩效管理要求，可按照如下格式说明：根据预算管理要求，我部门</w:t>
      </w:r>
      <w:r>
        <w:rPr>
          <w:rFonts w:hint="eastAsia" w:ascii="仿宋_GB2312" w:eastAsia="仿宋_GB2312"/>
          <w:color w:val="auto"/>
          <w:sz w:val="32"/>
          <w:szCs w:val="32"/>
          <w:highlight w:val="none"/>
          <w:lang w:val="en-US" w:eastAsia="zh-CN"/>
        </w:rPr>
        <w:t>12个项目，涉及资金181.26万元，完成预算绩效事前评估及预算目标量化细化工作。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highlight w:val="none"/>
        </w:rPr>
      </w:pPr>
      <w:r>
        <w:rPr>
          <w:rFonts w:hint="eastAsia" w:ascii="黑体" w:hAnsi="黑体" w:eastAsia="黑体" w:cs="黑体"/>
          <w:color w:val="auto"/>
          <w:sz w:val="32"/>
          <w:szCs w:val="32"/>
          <w:highlight w:val="none"/>
        </w:rPr>
        <w:t>十一、其他重要事项情况说明</w:t>
      </w:r>
      <w:bookmarkStart w:id="97" w:name="_Toc8808_WPSOffice_Level1"/>
      <w:bookmarkStart w:id="98" w:name="_Toc4398_WPSOffice_Level1"/>
      <w:bookmarkStart w:id="99" w:name="_Toc11039_WPSOffice_Level1"/>
      <w:bookmarkStart w:id="100" w:name="_Toc15425_WPSOffice_Level1"/>
      <w:bookmarkStart w:id="101" w:name="_Toc8874_WPSOffice_Level1"/>
      <w:bookmarkStart w:id="102" w:name="_Toc17580_WPSOffice_Level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无。</w:t>
      </w: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pStyle w:val="2"/>
        <w:ind w:left="0" w:leftChars="0" w:firstLine="0" w:firstLineChars="0"/>
        <w:rPr>
          <w:rFonts w:hint="eastAsia" w:ascii="黑体" w:hAnsi="ˎ̥" w:eastAsia="黑体"/>
          <w:color w:val="auto"/>
          <w:sz w:val="32"/>
          <w:szCs w:val="32"/>
          <w:highlight w:val="none"/>
        </w:rPr>
      </w:pPr>
    </w:p>
    <w:p>
      <w:pPr>
        <w:rPr>
          <w:rFonts w:hint="eastAsia"/>
        </w:rPr>
      </w:pPr>
    </w:p>
    <w:p>
      <w:pPr>
        <w:rPr>
          <w:rFonts w:hint="eastAsia" w:ascii="黑体" w:hAnsi="ˎ̥" w:eastAsia="黑体"/>
          <w:color w:val="auto"/>
          <w:sz w:val="32"/>
          <w:szCs w:val="32"/>
          <w:highlight w:val="none"/>
        </w:rPr>
      </w:pPr>
    </w:p>
    <w:p>
      <w:pPr>
        <w:pStyle w:val="2"/>
        <w:rPr>
          <w:rFonts w:hint="eastAsia" w:ascii="黑体" w:hAnsi="ˎ̥" w:eastAsia="黑体"/>
          <w:color w:val="auto"/>
          <w:sz w:val="32"/>
          <w:szCs w:val="32"/>
          <w:highlight w:val="none"/>
        </w:rPr>
      </w:pPr>
    </w:p>
    <w:p>
      <w:pPr>
        <w:rPr>
          <w:rFonts w:hint="eastAsia" w:ascii="黑体" w:hAnsi="ˎ̥" w:eastAsia="黑体"/>
          <w:color w:val="auto"/>
          <w:sz w:val="32"/>
          <w:szCs w:val="32"/>
          <w:highlight w:val="none"/>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r>
        <w:rPr>
          <w:rFonts w:hint="eastAsia" w:ascii="黑体" w:hAnsi="ˎ̥" w:eastAsia="黑体"/>
          <w:color w:val="auto"/>
          <w:sz w:val="32"/>
          <w:szCs w:val="32"/>
          <w:highlight w:val="none"/>
        </w:rPr>
        <w:t>第四部分  名词解释</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十六、</w:t>
      </w:r>
      <w:r>
        <w:rPr>
          <w:rFonts w:ascii="仿宋_GB2312" w:hAnsi="ˎ̥" w:eastAsia="仿宋_GB2312"/>
          <w:color w:val="auto"/>
          <w:sz w:val="32"/>
          <w:szCs w:val="32"/>
          <w:highlight w:val="none"/>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支出功能分类的名词解释，各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rPr>
        <w:t>部门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单位根据实际支出情况填列，可参阅财政部印发的《</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年政府收支分类科目》</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sectPr>
      <w:footerReference r:id="rId3" w:type="default"/>
      <w:footerReference r:id="rId4" w:type="even"/>
      <w:pgSz w:w="11906" w:h="16838"/>
      <w:pgMar w:top="2098" w:right="1474" w:bottom="1984" w:left="1587"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18</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BB32E1D"/>
    <w:multiLevelType w:val="singleLevel"/>
    <w:tmpl w:val="DBB32E1D"/>
    <w:lvl w:ilvl="0" w:tentative="0">
      <w:start w:val="1"/>
      <w:numFmt w:val="chineseCounting"/>
      <w:suff w:val="nothing"/>
      <w:lvlText w:val="%1、"/>
      <w:lvlJc w:val="left"/>
      <w:rPr>
        <w:rFonts w:hint="eastAsia"/>
      </w:rPr>
    </w:lvl>
  </w:abstractNum>
  <w:abstractNum w:abstractNumId="2">
    <w:nsid w:val="65DF45A8"/>
    <w:multiLevelType w:val="singleLevel"/>
    <w:tmpl w:val="65DF45A8"/>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158"/>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jZDNjMzEwY2RjNGMzYjIzMjc2NzY1ODNmYjgwMmE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113D6B"/>
    <w:rsid w:val="01891B53"/>
    <w:rsid w:val="030565CB"/>
    <w:rsid w:val="033E071B"/>
    <w:rsid w:val="03FB1D6E"/>
    <w:rsid w:val="04D9096F"/>
    <w:rsid w:val="05182245"/>
    <w:rsid w:val="05D76C05"/>
    <w:rsid w:val="07554285"/>
    <w:rsid w:val="07D77390"/>
    <w:rsid w:val="09201287"/>
    <w:rsid w:val="097E5D15"/>
    <w:rsid w:val="0B354AFA"/>
    <w:rsid w:val="0C607954"/>
    <w:rsid w:val="0C6445AA"/>
    <w:rsid w:val="0CC06645"/>
    <w:rsid w:val="0D36688D"/>
    <w:rsid w:val="0FC80124"/>
    <w:rsid w:val="11C57305"/>
    <w:rsid w:val="136F98C7"/>
    <w:rsid w:val="13E56991"/>
    <w:rsid w:val="145D0B4E"/>
    <w:rsid w:val="14FA21D7"/>
    <w:rsid w:val="15707694"/>
    <w:rsid w:val="17427E68"/>
    <w:rsid w:val="1755065F"/>
    <w:rsid w:val="185413A6"/>
    <w:rsid w:val="1AFC29C9"/>
    <w:rsid w:val="1B58460E"/>
    <w:rsid w:val="1B972C67"/>
    <w:rsid w:val="1C093663"/>
    <w:rsid w:val="1CA52F2E"/>
    <w:rsid w:val="1DF1196A"/>
    <w:rsid w:val="1DF20628"/>
    <w:rsid w:val="1DFE370B"/>
    <w:rsid w:val="1E3630B9"/>
    <w:rsid w:val="1F151572"/>
    <w:rsid w:val="1F58270D"/>
    <w:rsid w:val="1F5B21C9"/>
    <w:rsid w:val="1F911A16"/>
    <w:rsid w:val="206C46C2"/>
    <w:rsid w:val="20A756FA"/>
    <w:rsid w:val="22163A91"/>
    <w:rsid w:val="228340E6"/>
    <w:rsid w:val="23A3664D"/>
    <w:rsid w:val="25B4746B"/>
    <w:rsid w:val="26614D54"/>
    <w:rsid w:val="269F1A3A"/>
    <w:rsid w:val="26EEC2B5"/>
    <w:rsid w:val="27EA5662"/>
    <w:rsid w:val="282576A5"/>
    <w:rsid w:val="29472309"/>
    <w:rsid w:val="29D84B76"/>
    <w:rsid w:val="2A7E571E"/>
    <w:rsid w:val="2ACD19E2"/>
    <w:rsid w:val="2AF923CF"/>
    <w:rsid w:val="2B406E77"/>
    <w:rsid w:val="2BEA293F"/>
    <w:rsid w:val="2C2A0C43"/>
    <w:rsid w:val="2D1E73A5"/>
    <w:rsid w:val="2D267E0E"/>
    <w:rsid w:val="2F6173BC"/>
    <w:rsid w:val="30A72BE2"/>
    <w:rsid w:val="31083F93"/>
    <w:rsid w:val="32717154"/>
    <w:rsid w:val="32DA0D3B"/>
    <w:rsid w:val="334F38ED"/>
    <w:rsid w:val="340F7B58"/>
    <w:rsid w:val="34B63260"/>
    <w:rsid w:val="37FDA7E2"/>
    <w:rsid w:val="39112A4D"/>
    <w:rsid w:val="3A296D28"/>
    <w:rsid w:val="3A3144F9"/>
    <w:rsid w:val="3A314D88"/>
    <w:rsid w:val="3A746883"/>
    <w:rsid w:val="3B157697"/>
    <w:rsid w:val="3CA15DE9"/>
    <w:rsid w:val="3D230F40"/>
    <w:rsid w:val="3D4A148F"/>
    <w:rsid w:val="3E4C4ED1"/>
    <w:rsid w:val="3E9A2ABD"/>
    <w:rsid w:val="3EF913BF"/>
    <w:rsid w:val="3F9D02E4"/>
    <w:rsid w:val="3FE61EE5"/>
    <w:rsid w:val="406508EE"/>
    <w:rsid w:val="40805350"/>
    <w:rsid w:val="408D6263"/>
    <w:rsid w:val="41B40CEE"/>
    <w:rsid w:val="41D43A1D"/>
    <w:rsid w:val="425A2175"/>
    <w:rsid w:val="429D6505"/>
    <w:rsid w:val="430A7B89"/>
    <w:rsid w:val="452151CC"/>
    <w:rsid w:val="45580097"/>
    <w:rsid w:val="48317291"/>
    <w:rsid w:val="485F7024"/>
    <w:rsid w:val="48CD715C"/>
    <w:rsid w:val="48E70666"/>
    <w:rsid w:val="49197859"/>
    <w:rsid w:val="49C64593"/>
    <w:rsid w:val="4ABA5EA6"/>
    <w:rsid w:val="4B305DBA"/>
    <w:rsid w:val="4C6877E5"/>
    <w:rsid w:val="4D6A468D"/>
    <w:rsid w:val="4EA86137"/>
    <w:rsid w:val="500F6132"/>
    <w:rsid w:val="50812FC2"/>
    <w:rsid w:val="52B35A40"/>
    <w:rsid w:val="5345477B"/>
    <w:rsid w:val="551C775D"/>
    <w:rsid w:val="56CA7FD0"/>
    <w:rsid w:val="57FA38D1"/>
    <w:rsid w:val="59BA59B4"/>
    <w:rsid w:val="59C224B1"/>
    <w:rsid w:val="59D6437F"/>
    <w:rsid w:val="5B9C1DE6"/>
    <w:rsid w:val="5BAB15D7"/>
    <w:rsid w:val="5CD40D0F"/>
    <w:rsid w:val="5D6D0B56"/>
    <w:rsid w:val="5F7D3333"/>
    <w:rsid w:val="61385890"/>
    <w:rsid w:val="634458AE"/>
    <w:rsid w:val="657B13F8"/>
    <w:rsid w:val="657D4E41"/>
    <w:rsid w:val="687436E1"/>
    <w:rsid w:val="69DB153D"/>
    <w:rsid w:val="6ACA583A"/>
    <w:rsid w:val="6DA45C50"/>
    <w:rsid w:val="6E9A7825"/>
    <w:rsid w:val="6F5002D8"/>
    <w:rsid w:val="6F670F9B"/>
    <w:rsid w:val="6F7F0E56"/>
    <w:rsid w:val="70221C74"/>
    <w:rsid w:val="70CB5E68"/>
    <w:rsid w:val="71724F83"/>
    <w:rsid w:val="71BE3EF1"/>
    <w:rsid w:val="71F23210"/>
    <w:rsid w:val="72DB435C"/>
    <w:rsid w:val="734F1DBB"/>
    <w:rsid w:val="73571C35"/>
    <w:rsid w:val="736C0C5E"/>
    <w:rsid w:val="737450E0"/>
    <w:rsid w:val="74054476"/>
    <w:rsid w:val="740873D3"/>
    <w:rsid w:val="742F38C4"/>
    <w:rsid w:val="745B7CD4"/>
    <w:rsid w:val="74AB66DC"/>
    <w:rsid w:val="74C4154C"/>
    <w:rsid w:val="75301FBD"/>
    <w:rsid w:val="758F7329"/>
    <w:rsid w:val="75956FFF"/>
    <w:rsid w:val="760F2C9B"/>
    <w:rsid w:val="77AA2D01"/>
    <w:rsid w:val="784A1D68"/>
    <w:rsid w:val="7B6D4EA6"/>
    <w:rsid w:val="7CDE1DBD"/>
    <w:rsid w:val="7D943A85"/>
    <w:rsid w:val="7DB0448C"/>
    <w:rsid w:val="7E5F9AA4"/>
    <w:rsid w:val="7E9C0E4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annotation text"/>
    <w:basedOn w:val="1"/>
    <w:link w:val="13"/>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6"/>
    <w:qFormat/>
    <w:uiPriority w:val="0"/>
    <w:rPr>
      <w:b/>
      <w:bCs/>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Char"/>
    <w:link w:val="4"/>
    <w:qFormat/>
    <w:uiPriority w:val="0"/>
    <w:rPr>
      <w:kern w:val="2"/>
      <w:sz w:val="21"/>
      <w:szCs w:val="24"/>
    </w:rPr>
  </w:style>
  <w:style w:type="character" w:customStyle="1" w:styleId="14">
    <w:name w:val="批注框文本 Char"/>
    <w:link w:val="5"/>
    <w:qFormat/>
    <w:uiPriority w:val="0"/>
    <w:rPr>
      <w:kern w:val="2"/>
      <w:sz w:val="18"/>
      <w:szCs w:val="18"/>
    </w:rPr>
  </w:style>
  <w:style w:type="character" w:customStyle="1" w:styleId="15">
    <w:name w:val="页眉 Char"/>
    <w:link w:val="7"/>
    <w:qFormat/>
    <w:uiPriority w:val="0"/>
    <w:rPr>
      <w:kern w:val="2"/>
      <w:sz w:val="18"/>
      <w:szCs w:val="18"/>
    </w:rPr>
  </w:style>
  <w:style w:type="character" w:customStyle="1" w:styleId="16">
    <w:name w:val="批注主题 Char"/>
    <w:link w:val="8"/>
    <w:qFormat/>
    <w:uiPriority w:val="0"/>
    <w:rPr>
      <w:b/>
      <w:bCs/>
      <w:kern w:val="2"/>
      <w:sz w:val="21"/>
      <w:szCs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19">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5521</Words>
  <Characters>5949</Characters>
  <Lines>67</Lines>
  <Paragraphs>18</Paragraphs>
  <TotalTime>25</TotalTime>
  <ScaleCrop>false</ScaleCrop>
  <LinksUpToDate>false</LinksUpToDate>
  <CharactersWithSpaces>6019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2026-02-02T00:58:47Z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