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w:t>
      </w:r>
      <w:r>
        <w:rPr>
          <w:rFonts w:hint="eastAsia" w:asciiTheme="majorEastAsia" w:hAnsiTheme="majorEastAsia" w:eastAsiaTheme="majorEastAsia" w:cstheme="majorEastAsia"/>
          <w:b/>
          <w:bCs/>
          <w:sz w:val="44"/>
          <w:szCs w:val="44"/>
          <w:lang w:eastAsia="zh-CN"/>
        </w:rPr>
        <w:t>政协办</w:t>
      </w:r>
      <w:r>
        <w:rPr>
          <w:rFonts w:hint="eastAsia" w:asciiTheme="majorEastAsia" w:hAnsiTheme="majorEastAsia" w:eastAsiaTheme="majorEastAsia" w:cstheme="majorEastAsia"/>
          <w:b/>
          <w:bCs/>
          <w:sz w:val="44"/>
          <w:szCs w:val="44"/>
        </w:rPr>
        <w:t>机关2024年度部门决算公开报告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p>
    <w:p>
      <w:pPr>
        <w:spacing w:line="578" w:lineRule="exact"/>
        <w:jc w:val="center"/>
        <w:rPr>
          <w:rFonts w:hint="eastAsia" w:ascii="黑体" w:hAnsi="黑体" w:eastAsia="黑体" w:cs="黑体"/>
          <w:sz w:val="44"/>
          <w:szCs w:val="44"/>
        </w:rPr>
      </w:pPr>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1704_WPSOffice_Level1"/>
      <w:bookmarkStart w:id="4" w:name="_Toc22941_WPSOffice_Level1"/>
      <w:bookmarkStart w:id="5" w:name="_Toc10049_WPSOffice_Level1"/>
      <w:bookmarkStart w:id="6" w:name="_Toc23465_WPSOffice_Level1"/>
      <w:bookmarkStart w:id="7" w:name="_Toc32433_WPSOffice_Level1"/>
      <w:bookmarkStart w:id="8" w:name="_Toc24238_WPSOffice_Level2"/>
      <w:bookmarkStart w:id="9" w:name="_Toc14159_WPSOffice_Level2"/>
      <w:bookmarkStart w:id="10" w:name="_Toc20205_WPSOffice_Level2"/>
      <w:bookmarkStart w:id="11" w:name="_Toc20274_WPSOffice_Level2"/>
      <w:bookmarkStart w:id="12" w:name="_Toc32622_WPSOffice_Level2"/>
      <w:bookmarkStart w:id="13" w:name="_Toc26580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方正黑体简体" w:hAnsi="方正黑体简体" w:eastAsia="方正黑体简体" w:cs="方正黑体简体"/>
          <w:color w:val="000000" w:themeColor="text1"/>
          <w:sz w:val="32"/>
          <w:szCs w:val="32"/>
          <w14:textFill>
            <w14:solidFill>
              <w14:schemeClr w14:val="tx1"/>
            </w14:solidFill>
          </w14:textFill>
        </w:rPr>
      </w:pPr>
      <w:r>
        <w:rPr>
          <w:rFonts w:hint="eastAsia" w:ascii="方正黑体简体" w:hAnsi="方正黑体简体" w:eastAsia="方正黑体简体" w:cs="方正黑体简体"/>
          <w:color w:val="000000" w:themeColor="text1"/>
          <w:sz w:val="32"/>
          <w:szCs w:val="32"/>
          <w:lang w:eastAsia="zh-CN"/>
          <w14:textFill>
            <w14:solidFill>
              <w14:schemeClr w14:val="tx1"/>
            </w14:solidFill>
          </w14:textFill>
        </w:rPr>
        <w:t>一、</w:t>
      </w:r>
      <w:r>
        <w:rPr>
          <w:rFonts w:hint="eastAsia" w:ascii="方正黑体简体" w:hAnsi="方正黑体简体" w:eastAsia="方正黑体简体" w:cs="方正黑体简体"/>
          <w:color w:val="000000" w:themeColor="text1"/>
          <w:sz w:val="32"/>
          <w:szCs w:val="32"/>
          <w14:textFill>
            <w14:solidFill>
              <w14:schemeClr w14:val="tx1"/>
            </w14:solidFill>
          </w14:textFill>
        </w:rPr>
        <w:t>部门</w:t>
      </w:r>
      <w:bookmarkEnd w:id="8"/>
      <w:r>
        <w:rPr>
          <w:rFonts w:hint="eastAsia" w:ascii="方正黑体简体" w:hAnsi="方正黑体简体" w:eastAsia="方正黑体简体" w:cs="方正黑体简体"/>
          <w:color w:val="000000" w:themeColor="text1"/>
          <w:sz w:val="32"/>
          <w:szCs w:val="32"/>
          <w14:textFill>
            <w14:solidFill>
              <w14:schemeClr w14:val="tx1"/>
            </w14:solidFill>
          </w14:textFill>
        </w:rPr>
        <w:t>（单位）职责</w:t>
      </w:r>
      <w:bookmarkEnd w:id="9"/>
      <w:bookmarkEnd w:id="10"/>
      <w:bookmarkEnd w:id="11"/>
      <w:bookmarkEnd w:id="12"/>
      <w:bookmarkEnd w:id="13"/>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主要职责具体包括：政协的主要职能是政治协商、民主监督、参政议政。这三项主要职能是各党派团体、各族各界人士在中国政治体制中参与国事、发挥作用的重要内容和基本形式，体现了人民政协的性质和特点，是人民政协区别于其他政治组织的重要标志。</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政治协商是对地方的大政方针以及政治、经济、文化和社会生活中的重要问题在决策之前进行协商和就决策执行过程中的重要问题进行协商。</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民主监督是对国家宪法、法律和法规的实施，重大方针政策的贯彻执行、国家机关及其工作人员的工作，通过建议和批评进行监督，参政议政是对政治、经济、文化和社会生活中的重要问题以及人民群众普遍关心的问题，开展调查研究，反映社情民意，进行协商讨论。通过调研报告、提案、建议案或其他形，向政府提出意见和建议。</w:t>
      </w:r>
    </w:p>
    <w:p>
      <w:pPr>
        <w:keepNext w:val="0"/>
        <w:keepLines w:val="0"/>
        <w:pageBreakBefore w:val="0"/>
        <w:widowControl w:val="0"/>
        <w:numPr>
          <w:ilvl w:val="0"/>
          <w:numId w:val="2"/>
        </w:numPr>
        <w:kinsoku/>
        <w:wordWrap/>
        <w:overflowPunct/>
        <w:topLinePunct w:val="0"/>
        <w:bidi w:val="0"/>
        <w:snapToGrid/>
        <w:spacing w:line="576" w:lineRule="exact"/>
        <w:ind w:firstLine="640" w:firstLineChars="200"/>
        <w:textAlignment w:val="auto"/>
        <w:rPr>
          <w:rFonts w:hint="eastAsia" w:ascii="方正黑体简体" w:hAnsi="方正黑体简体" w:eastAsia="方正黑体简体" w:cs="方正黑体简体"/>
          <w:color w:val="000000" w:themeColor="text1"/>
          <w:sz w:val="32"/>
          <w:szCs w:val="32"/>
          <w14:textFill>
            <w14:solidFill>
              <w14:schemeClr w14:val="tx1"/>
            </w14:solidFill>
          </w14:textFill>
        </w:rPr>
      </w:pPr>
      <w:r>
        <w:rPr>
          <w:rFonts w:hint="eastAsia" w:ascii="方正黑体简体" w:hAnsi="方正黑体简体" w:eastAsia="方正黑体简体" w:cs="方正黑体简体"/>
          <w:color w:val="000000" w:themeColor="text1"/>
          <w:sz w:val="32"/>
          <w:szCs w:val="32"/>
          <w14:textFill>
            <w14:solidFill>
              <w14:schemeClr w14:val="tx1"/>
            </w14:solidFill>
          </w14:textFill>
        </w:rPr>
        <w:t>部门机构设置</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申扎县政协隶属行政机构，单位性质为正科级机构，社会统一信用代码为：</w:t>
      </w:r>
      <w:r>
        <w:rPr>
          <w:rFonts w:hint="eastAsia" w:ascii="仿宋" w:hAnsi="仿宋" w:eastAsia="仿宋" w:cs="仿宋"/>
          <w:sz w:val="32"/>
          <w:szCs w:val="32"/>
        </w:rPr>
        <w:t>11542426321380905M。在职人数13人，行政编制13人。</w:t>
      </w:r>
    </w:p>
    <w:p>
      <w:pPr>
        <w:spacing w:line="578" w:lineRule="exact"/>
        <w:jc w:val="both"/>
        <w:rPr>
          <w:rFonts w:hint="eastAsia" w:ascii="黑体" w:hAnsi="ˎ̥" w:eastAsia="黑体"/>
          <w:sz w:val="32"/>
          <w:szCs w:val="32"/>
        </w:rPr>
      </w:pPr>
      <w:bookmarkStart w:id="14" w:name="_Toc30451_WPSOffice_Level1"/>
      <w:bookmarkStart w:id="15" w:name="_Toc15521_WPSOffice_Level1"/>
      <w:bookmarkStart w:id="16" w:name="_Toc28253_WPSOffice_Level1"/>
      <w:bookmarkStart w:id="17" w:name="_Toc6234_WPSOffice_Level1"/>
      <w:bookmarkStart w:id="18" w:name="_Toc30690_WPSOffice_Level1"/>
      <w:bookmarkStart w:id="19" w:name="_Toc8164_WPSOffice_Level1"/>
      <w:bookmarkStart w:id="20" w:name="_Toc32472_WPSOffice_Level2"/>
      <w:bookmarkStart w:id="21" w:name="_Toc11518_WPSOffice_Level2"/>
      <w:bookmarkStart w:id="22" w:name="_Toc8867_WPSOffice_Level2"/>
      <w:bookmarkStart w:id="23" w:name="_Toc4029_WPSOffice_Level2"/>
      <w:bookmarkStart w:id="24" w:name="_Toc6211_WPSOffice_Level2"/>
      <w:bookmarkStart w:id="25"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4"/>
      <w:bookmarkEnd w:id="15"/>
      <w:bookmarkEnd w:id="16"/>
      <w:bookmarkEnd w:id="17"/>
      <w:bookmarkEnd w:id="18"/>
      <w:bookmarkEnd w:id="19"/>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0"/>
      <w:bookmarkEnd w:id="21"/>
      <w:bookmarkEnd w:id="22"/>
      <w:bookmarkEnd w:id="23"/>
      <w:bookmarkEnd w:id="24"/>
      <w:bookmarkEnd w:id="25"/>
    </w:p>
    <w:p>
      <w:pPr>
        <w:spacing w:line="578" w:lineRule="exact"/>
        <w:ind w:firstLine="645"/>
        <w:rPr>
          <w:rFonts w:hint="eastAsia" w:ascii="黑体" w:hAnsi="黑体" w:eastAsia="黑体" w:cs="黑体"/>
          <w:sz w:val="32"/>
          <w:szCs w:val="32"/>
        </w:rPr>
      </w:pPr>
      <w:bookmarkStart w:id="26" w:name="_Toc25608_WPSOffice_Level2"/>
      <w:bookmarkStart w:id="27" w:name="_Toc28622_WPSOffice_Level2"/>
      <w:bookmarkStart w:id="28" w:name="_Toc23139_WPSOffice_Level2"/>
      <w:bookmarkStart w:id="29" w:name="_Toc14349_WPSOffice_Level2"/>
      <w:bookmarkStart w:id="30" w:name="_Toc26621_WPSOffice_Level2"/>
      <w:bookmarkStart w:id="31" w:name="_Toc30334_WPSOffice_Level2"/>
      <w:r>
        <w:rPr>
          <w:rFonts w:hint="eastAsia" w:ascii="黑体" w:hAnsi="黑体" w:eastAsia="黑体" w:cs="黑体"/>
          <w:sz w:val="32"/>
          <w:szCs w:val="32"/>
        </w:rPr>
        <w:t>二、收入决算公开表</w:t>
      </w:r>
      <w:bookmarkEnd w:id="26"/>
      <w:bookmarkEnd w:id="27"/>
      <w:bookmarkEnd w:id="28"/>
      <w:bookmarkEnd w:id="29"/>
      <w:bookmarkEnd w:id="30"/>
      <w:bookmarkEnd w:id="31"/>
      <w:bookmarkStart w:id="32" w:name="_Toc17626_WPSOffice_Level2"/>
      <w:bookmarkStart w:id="33" w:name="_Toc17858_WPSOffice_Level2"/>
      <w:bookmarkStart w:id="34" w:name="_Toc5489_WPSOffice_Level2"/>
      <w:bookmarkStart w:id="35" w:name="_Toc13854_WPSOffice_Level2"/>
      <w:bookmarkStart w:id="36" w:name="_Toc3262_WPSOffice_Level2"/>
      <w:bookmarkStart w:id="37"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2"/>
      <w:bookmarkEnd w:id="33"/>
      <w:bookmarkEnd w:id="34"/>
      <w:bookmarkEnd w:id="35"/>
      <w:bookmarkEnd w:id="36"/>
      <w:bookmarkEnd w:id="37"/>
      <w:bookmarkStart w:id="38" w:name="_Toc21415_WPSOffice_Level2"/>
      <w:bookmarkStart w:id="39" w:name="_Toc13701_WPSOffice_Level2"/>
      <w:bookmarkStart w:id="40" w:name="_Toc4265_WPSOffice_Level2"/>
      <w:bookmarkStart w:id="41" w:name="_Toc7988_WPSOffice_Level2"/>
      <w:bookmarkStart w:id="42" w:name="_Toc23493_WPSOffice_Level2"/>
      <w:bookmarkStart w:id="43"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38"/>
      <w:bookmarkEnd w:id="39"/>
      <w:bookmarkEnd w:id="40"/>
      <w:bookmarkEnd w:id="41"/>
      <w:bookmarkEnd w:id="42"/>
      <w:bookmarkEnd w:id="43"/>
    </w:p>
    <w:p>
      <w:pPr>
        <w:spacing w:line="578" w:lineRule="exact"/>
        <w:ind w:firstLine="645"/>
        <w:rPr>
          <w:rFonts w:hint="eastAsia" w:ascii="黑体" w:hAnsi="黑体" w:eastAsia="黑体" w:cs="黑体"/>
          <w:sz w:val="32"/>
          <w:szCs w:val="32"/>
        </w:rPr>
      </w:pPr>
      <w:bookmarkStart w:id="44" w:name="_Toc23829_WPSOffice_Level2"/>
      <w:bookmarkStart w:id="45" w:name="_Toc22783_WPSOffice_Level2"/>
      <w:bookmarkStart w:id="46" w:name="_Toc7879_WPSOffice_Level2"/>
      <w:bookmarkStart w:id="47" w:name="_Toc25166_WPSOffice_Level2"/>
      <w:bookmarkStart w:id="48" w:name="_Toc2158_WPSOffice_Level2"/>
      <w:bookmarkStart w:id="49" w:name="_Toc13516_WPSOffice_Level2"/>
      <w:r>
        <w:rPr>
          <w:rFonts w:hint="eastAsia" w:ascii="黑体" w:hAnsi="黑体" w:eastAsia="黑体" w:cs="黑体"/>
          <w:sz w:val="32"/>
          <w:szCs w:val="32"/>
        </w:rPr>
        <w:t>五、一般公共预算财政拨款收入支出决算</w:t>
      </w:r>
      <w:bookmarkEnd w:id="44"/>
      <w:bookmarkEnd w:id="45"/>
      <w:bookmarkEnd w:id="46"/>
      <w:bookmarkEnd w:id="47"/>
      <w:r>
        <w:rPr>
          <w:rFonts w:hint="eastAsia" w:ascii="黑体" w:hAnsi="黑体" w:eastAsia="黑体" w:cs="黑体"/>
          <w:sz w:val="32"/>
          <w:szCs w:val="32"/>
        </w:rPr>
        <w:t>公开表</w:t>
      </w:r>
      <w:bookmarkEnd w:id="48"/>
      <w:bookmarkEnd w:id="49"/>
      <w:bookmarkStart w:id="50" w:name="_Toc8373_WPSOffice_Level2"/>
      <w:bookmarkStart w:id="51" w:name="_Toc5343_WPSOffice_Level2"/>
      <w:bookmarkStart w:id="52" w:name="_Toc2632_WPSOffice_Level2"/>
      <w:bookmarkStart w:id="53" w:name="_Toc17283_WPSOffice_Level2"/>
      <w:bookmarkStart w:id="54" w:name="_Toc25362_WPSOffice_Level2"/>
      <w:bookmarkStart w:id="55"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0"/>
      <w:bookmarkEnd w:id="51"/>
      <w:bookmarkEnd w:id="52"/>
      <w:bookmarkEnd w:id="53"/>
      <w:bookmarkEnd w:id="54"/>
      <w:bookmarkEnd w:id="55"/>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56" w:name="_Toc1533_WPSOffice_Level2"/>
      <w:bookmarkStart w:id="57" w:name="_Toc11799_WPSOffice_Level2"/>
      <w:bookmarkStart w:id="58" w:name="_Toc5594_WPSOffice_Level2"/>
      <w:bookmarkStart w:id="59" w:name="_Toc21310_WPSOffice_Level2"/>
      <w:bookmarkStart w:id="60" w:name="_Toc13345_WPSOffice_Level2"/>
      <w:bookmarkStart w:id="61" w:name="_Toc6020_WPSOffice_Level2"/>
      <w:r>
        <w:rPr>
          <w:rFonts w:hint="eastAsia" w:ascii="黑体" w:hAnsi="黑体" w:eastAsia="黑体" w:cs="黑体"/>
          <w:sz w:val="32"/>
          <w:szCs w:val="32"/>
        </w:rPr>
        <w:t>七、政府性基金预算财政拨款收入支出决算</w:t>
      </w:r>
      <w:bookmarkEnd w:id="56"/>
      <w:bookmarkEnd w:id="57"/>
      <w:bookmarkEnd w:id="58"/>
      <w:bookmarkEnd w:id="59"/>
      <w:bookmarkEnd w:id="60"/>
      <w:bookmarkEnd w:id="61"/>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2" w:name="_Toc19961_WPSOffice_Level2"/>
      <w:bookmarkStart w:id="63" w:name="_Toc9377_WPSOffice_Level2"/>
      <w:bookmarkStart w:id="64" w:name="_Toc1820_WPSOffice_Level2"/>
      <w:bookmarkStart w:id="65" w:name="_Toc29886_WPSOffice_Level2"/>
      <w:r>
        <w:rPr>
          <w:rFonts w:hint="eastAsia" w:ascii="黑体" w:hAnsi="黑体" w:eastAsia="黑体" w:cs="黑体"/>
          <w:sz w:val="32"/>
          <w:szCs w:val="32"/>
        </w:rPr>
        <w:t>九、财政拨款“三公”经费支出决算</w:t>
      </w:r>
      <w:bookmarkEnd w:id="62"/>
      <w:bookmarkEnd w:id="63"/>
      <w:bookmarkEnd w:id="64"/>
      <w:bookmarkEnd w:id="65"/>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66" w:name="_Toc31264_WPSOffice_Level1"/>
      <w:bookmarkStart w:id="67" w:name="_Toc16686_WPSOffice_Level1"/>
      <w:bookmarkStart w:id="68" w:name="_Toc29683_WPSOffice_Level1"/>
      <w:bookmarkStart w:id="69" w:name="_Toc27590_WPSOffice_Level1"/>
      <w:bookmarkStart w:id="70" w:name="_Toc28629_WPSOffice_Level1"/>
      <w:bookmarkStart w:id="71" w:name="_Toc4402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66"/>
      <w:bookmarkEnd w:id="67"/>
      <w:bookmarkEnd w:id="68"/>
      <w:bookmarkEnd w:id="69"/>
      <w:bookmarkEnd w:id="70"/>
      <w:bookmarkEnd w:id="71"/>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eastAsia" w:ascii="仿宋_GB2312" w:hAnsi="ˎ̥" w:eastAsia="仿宋_GB2312"/>
          <w:sz w:val="32"/>
          <w:szCs w:val="32"/>
          <w:lang w:val="en-US" w:eastAsia="zh-CN"/>
        </w:rPr>
        <w:t>581.63</w:t>
      </w:r>
      <w:r>
        <w:rPr>
          <w:rFonts w:hint="eastAsia" w:ascii="仿宋_GB2312" w:hAnsi="ˎ̥" w:eastAsia="仿宋_GB2312"/>
          <w:sz w:val="32"/>
          <w:szCs w:val="32"/>
        </w:rPr>
        <w:t>万元，支出总计</w:t>
      </w:r>
      <w:r>
        <w:rPr>
          <w:rFonts w:hint="eastAsia" w:ascii="仿宋_GB2312" w:hAnsi="ˎ̥" w:eastAsia="仿宋_GB2312"/>
          <w:sz w:val="32"/>
          <w:szCs w:val="32"/>
          <w:lang w:val="en-US" w:eastAsia="zh-CN"/>
        </w:rPr>
        <w:t>581.63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 xml:space="preserve">147.61 </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25.37</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一是较去年增加人员；导致资金增加，二是工资福利增加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w:t>
      </w:r>
      <w:r>
        <w:rPr>
          <w:rFonts w:hint="eastAsia" w:ascii="仿宋_GB2312" w:hAnsi="ˎ̥" w:eastAsia="仿宋_GB2312"/>
          <w:sz w:val="32"/>
          <w:szCs w:val="32"/>
        </w:rPr>
        <w:t>入</w:t>
      </w:r>
      <w:r>
        <w:rPr>
          <w:rFonts w:hint="eastAsia" w:ascii="仿宋_GB2312" w:hAnsi="ˎ̥" w:eastAsia="仿宋_GB2312"/>
          <w:sz w:val="32"/>
          <w:szCs w:val="32"/>
          <w:lang w:val="en-US" w:eastAsia="zh-CN"/>
        </w:rPr>
        <w:t>581.63</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ˎ̥" w:eastAsia="仿宋_GB2312"/>
          <w:sz w:val="32"/>
          <w:szCs w:val="32"/>
          <w:lang w:val="en-US" w:eastAsia="zh-CN"/>
        </w:rPr>
        <w:t>581.63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sz w:val="32"/>
          <w:szCs w:val="32"/>
          <w:lang w:val="en-US" w:eastAsia="zh-CN"/>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eastAsia" w:ascii="仿宋_GB2312" w:hAnsi="ˎ̥" w:eastAsia="仿宋_GB2312"/>
          <w:sz w:val="32"/>
          <w:szCs w:val="32"/>
          <w:lang w:val="en-US" w:eastAsia="zh-CN"/>
        </w:rPr>
        <w:t>581.63</w:t>
      </w:r>
      <w:r>
        <w:rPr>
          <w:rFonts w:hint="eastAsia" w:ascii="仿宋_GB2312" w:hAnsi="ˎ̥" w:eastAsia="仿宋_GB2312"/>
          <w:sz w:val="32"/>
          <w:szCs w:val="32"/>
        </w:rPr>
        <w:t>万元，其中：财政拨款收入</w:t>
      </w:r>
      <w:r>
        <w:rPr>
          <w:rFonts w:hint="eastAsia" w:ascii="仿宋_GB2312" w:hAnsi="ˎ̥" w:eastAsia="仿宋_GB2312"/>
          <w:sz w:val="32"/>
          <w:szCs w:val="32"/>
          <w:lang w:val="en-US" w:eastAsia="zh-CN"/>
        </w:rPr>
        <w:t>581.63</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eastAsia" w:ascii="仿宋_GB2312" w:hAnsi="ˎ̥" w:eastAsia="仿宋_GB2312"/>
          <w:sz w:val="32"/>
          <w:szCs w:val="32"/>
          <w:lang w:val="en-US" w:eastAsia="zh-CN"/>
        </w:rPr>
        <w:t>581.63</w:t>
      </w:r>
      <w:r>
        <w:rPr>
          <w:rFonts w:hint="eastAsia" w:ascii="仿宋_GB2312" w:hAnsi="ˎ̥" w:eastAsia="仿宋_GB2312"/>
          <w:sz w:val="32"/>
          <w:szCs w:val="32"/>
        </w:rPr>
        <w:t>万元，其中：基本支出</w:t>
      </w:r>
      <w:r>
        <w:rPr>
          <w:rFonts w:hint="eastAsia" w:ascii="仿宋_GB2312" w:hAnsi="ˎ̥" w:eastAsia="仿宋_GB2312"/>
          <w:sz w:val="32"/>
          <w:szCs w:val="32"/>
          <w:lang w:val="en-US" w:eastAsia="zh-CN"/>
        </w:rPr>
        <w:t>546.51</w:t>
      </w:r>
      <w:r>
        <w:rPr>
          <w:rFonts w:hint="eastAsia" w:ascii="仿宋_GB2312" w:hAnsi="ˎ̥" w:eastAsia="仿宋_GB2312"/>
          <w:sz w:val="32"/>
          <w:szCs w:val="32"/>
        </w:rPr>
        <w:t>万元，占</w:t>
      </w:r>
      <w:r>
        <w:rPr>
          <w:rFonts w:hint="eastAsia" w:ascii="仿宋_GB2312" w:hAnsi="ˎ̥" w:eastAsia="仿宋_GB2312"/>
          <w:sz w:val="32"/>
          <w:szCs w:val="32"/>
          <w:lang w:val="en-US" w:eastAsia="zh-CN"/>
        </w:rPr>
        <w:t>93.96</w:t>
      </w:r>
      <w:r>
        <w:rPr>
          <w:rFonts w:hint="eastAsia" w:ascii="仿宋_GB2312" w:hAnsi="ˎ̥" w:eastAsia="仿宋_GB2312"/>
          <w:sz w:val="32"/>
          <w:szCs w:val="32"/>
        </w:rPr>
        <w:t>%；项目支出</w:t>
      </w:r>
      <w:r>
        <w:rPr>
          <w:rFonts w:hint="eastAsia" w:ascii="仿宋_GB2312" w:hAnsi="ˎ̥" w:eastAsia="仿宋_GB2312"/>
          <w:sz w:val="32"/>
          <w:szCs w:val="32"/>
          <w:lang w:val="en-US" w:eastAsia="zh-CN"/>
        </w:rPr>
        <w:t>35.12</w:t>
      </w:r>
      <w:r>
        <w:rPr>
          <w:rFonts w:hint="eastAsia" w:ascii="仿宋_GB2312" w:hAnsi="ˎ̥" w:eastAsia="仿宋_GB2312"/>
          <w:sz w:val="32"/>
          <w:szCs w:val="32"/>
        </w:rPr>
        <w:t>万元，占</w:t>
      </w:r>
      <w:r>
        <w:rPr>
          <w:rFonts w:hint="eastAsia" w:ascii="仿宋_GB2312" w:hAnsi="ˎ̥" w:eastAsia="仿宋_GB2312"/>
          <w:sz w:val="32"/>
          <w:szCs w:val="32"/>
          <w:lang w:val="en-US" w:eastAsia="zh-CN"/>
        </w:rPr>
        <w:t>6.03</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eastAsia" w:ascii="仿宋_GB2312" w:hAnsi="ˎ̥" w:eastAsia="仿宋_GB2312"/>
          <w:sz w:val="32"/>
          <w:szCs w:val="32"/>
          <w:lang w:val="en-US" w:eastAsia="zh-CN"/>
        </w:rPr>
        <w:t>581.63</w:t>
      </w:r>
      <w:r>
        <w:rPr>
          <w:rFonts w:hint="eastAsia" w:ascii="仿宋_GB2312" w:hAnsi="ˎ̥" w:eastAsia="仿宋_GB2312"/>
          <w:sz w:val="32"/>
          <w:szCs w:val="32"/>
        </w:rPr>
        <w:t>万元，支出</w:t>
      </w:r>
      <w:r>
        <w:rPr>
          <w:rFonts w:hint="eastAsia" w:ascii="仿宋_GB2312" w:hAnsi="ˎ̥" w:eastAsia="仿宋_GB2312"/>
          <w:sz w:val="32"/>
          <w:szCs w:val="32"/>
          <w:lang w:val="en-US" w:eastAsia="zh-CN"/>
        </w:rPr>
        <w:t>581.63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 xml:space="preserve"> 147.61</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较2023年相比人员增加</w:t>
      </w:r>
      <w:r>
        <w:rPr>
          <w:rFonts w:hint="eastAsia" w:ascii="仿宋_GB2312" w:hAnsi="ˎ̥" w:eastAsia="仿宋_GB2312"/>
          <w:sz w:val="32"/>
          <w:szCs w:val="32"/>
        </w:rPr>
        <w:t>；二是</w:t>
      </w:r>
      <w:r>
        <w:rPr>
          <w:rFonts w:hint="eastAsia" w:ascii="仿宋_GB2312" w:hAnsi="ˎ̥" w:eastAsia="仿宋_GB2312"/>
          <w:sz w:val="32"/>
          <w:szCs w:val="32"/>
          <w:lang w:val="en-US" w:eastAsia="zh-CN"/>
        </w:rPr>
        <w:t>增加工资福利上涨</w:t>
      </w:r>
      <w:r>
        <w:rPr>
          <w:rFonts w:hint="eastAsia" w:ascii="仿宋_GB2312" w:hAnsi="ˎ̥" w:eastAsia="仿宋_GB2312"/>
          <w:sz w:val="32"/>
          <w:szCs w:val="32"/>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2" w:name="_Toc13694_WPSOffice_Level2"/>
      <w:bookmarkStart w:id="73" w:name="_Toc21737_WPSOffice_Level2"/>
      <w:bookmarkStart w:id="74" w:name="_Toc23005_WPSOffice_Level2"/>
      <w:bookmarkStart w:id="75" w:name="_Toc19665_WPSOffice_Level2"/>
      <w:bookmarkStart w:id="76" w:name="_Toc9989_WPSOffice_Level2"/>
      <w:bookmarkStart w:id="77" w:name="_Toc17398_WPSOffice_Level2"/>
      <w:r>
        <w:rPr>
          <w:rFonts w:hint="eastAsia" w:ascii="楷体" w:hAnsi="楷体" w:eastAsia="楷体" w:cs="楷体"/>
          <w:sz w:val="32"/>
          <w:szCs w:val="32"/>
        </w:rPr>
        <w:t>（一）一般公共预算财政拨款支出决算总体情况</w:t>
      </w:r>
      <w:bookmarkEnd w:id="72"/>
      <w:bookmarkEnd w:id="73"/>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eastAsia" w:ascii="仿宋_GB2312" w:hAnsi="ˎ̥" w:eastAsia="仿宋_GB2312"/>
          <w:sz w:val="32"/>
          <w:szCs w:val="32"/>
          <w:lang w:val="en-US" w:eastAsia="zh-CN"/>
        </w:rPr>
        <w:t>510.5</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w:t>
      </w:r>
      <w:r>
        <w:rPr>
          <w:rFonts w:hint="eastAsia" w:ascii="仿宋_GB2312" w:hAnsi="ˎ̥" w:eastAsia="仿宋_GB2312"/>
          <w:sz w:val="32"/>
          <w:szCs w:val="32"/>
          <w:lang w:val="en-US" w:eastAsia="zh-CN"/>
        </w:rPr>
        <w:t>增加137.75</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26.98</w:t>
      </w:r>
      <w:r>
        <w:rPr>
          <w:rFonts w:hint="eastAsia" w:ascii="仿宋_GB2312" w:hAnsi="ˎ̥" w:eastAsia="仿宋_GB2312"/>
          <w:sz w:val="32"/>
          <w:szCs w:val="32"/>
        </w:rPr>
        <w:t>%，主要原因</w:t>
      </w:r>
      <w:bookmarkStart w:id="78" w:name="_Toc2711_WPSOffice_Level2"/>
      <w:bookmarkStart w:id="79" w:name="_Toc27767_WPSOffice_Level2"/>
      <w:bookmarkStart w:id="80" w:name="_Toc23864_WPSOffice_Level2"/>
      <w:bookmarkStart w:id="81" w:name="_Toc18793_WPSOffice_Level2"/>
      <w:bookmarkStart w:id="82" w:name="_Toc19075_WPSOffice_Level2"/>
      <w:bookmarkStart w:id="83" w:name="_Toc19535_WPSOffice_Level2"/>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人员增加，工资福利上涨</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（二）一般公共预算财政拨款支出决算结构情况</w:t>
      </w:r>
      <w:bookmarkEnd w:id="78"/>
      <w:bookmarkEnd w:id="79"/>
      <w:bookmarkEnd w:id="80"/>
      <w:bookmarkEnd w:id="81"/>
      <w:bookmarkEnd w:id="82"/>
      <w:bookmarkEnd w:id="8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w:t>
      </w:r>
      <w:r>
        <w:rPr>
          <w:rFonts w:hint="eastAsia" w:ascii="仿宋_GB2312" w:hAnsi="ˎ̥" w:eastAsia="仿宋_GB2312"/>
          <w:sz w:val="32"/>
          <w:szCs w:val="32"/>
          <w:lang w:val="en-US"/>
        </w:rPr>
        <w:t>出</w:t>
      </w:r>
      <w:r>
        <w:rPr>
          <w:rFonts w:hint="eastAsia" w:ascii="仿宋_GB2312" w:hAnsi="ˎ̥" w:eastAsia="仿宋_GB2312"/>
          <w:sz w:val="32"/>
          <w:szCs w:val="32"/>
          <w:lang w:val="en-US" w:eastAsia="zh-CN"/>
        </w:rPr>
        <w:t>581.63</w:t>
      </w:r>
      <w:r>
        <w:rPr>
          <w:rFonts w:hint="eastAsia" w:ascii="仿宋_GB2312" w:hAnsi="ˎ̥" w:eastAsia="仿宋_GB2312"/>
          <w:sz w:val="32"/>
          <w:szCs w:val="32"/>
        </w:rPr>
        <w:t>万元，主要用于以下方面：</w:t>
      </w:r>
      <w:bookmarkStart w:id="84" w:name="_Toc29364_WPSOffice_Level2"/>
      <w:bookmarkStart w:id="85" w:name="_Toc22318_WPSOffice_Level2"/>
      <w:bookmarkStart w:id="86" w:name="_Toc21701_WPSOffice_Level2"/>
      <w:bookmarkStart w:id="87" w:name="_Toc15415_WPSOffice_Level2"/>
      <w:bookmarkStart w:id="88" w:name="_Toc9502_WPSOffice_Level2"/>
      <w:bookmarkStart w:id="89" w:name="_Toc25136_WPSOffice_Level2"/>
      <w:r>
        <w:rPr>
          <w:rFonts w:hint="eastAsia" w:ascii="仿宋_GB2312" w:hAnsi="ˎ̥" w:eastAsia="仿宋_GB2312"/>
          <w:sz w:val="32"/>
          <w:szCs w:val="32"/>
          <w:lang w:eastAsia="zh-CN"/>
        </w:rPr>
        <w:t>一般</w:t>
      </w:r>
      <w:r>
        <w:rPr>
          <w:rFonts w:hint="eastAsia" w:ascii="仿宋_GB2312" w:hAnsi="ˎ̥" w:eastAsia="仿宋_GB2312"/>
          <w:sz w:val="32"/>
          <w:szCs w:val="32"/>
          <w:lang w:val="en-US" w:eastAsia="zh-CN"/>
        </w:rPr>
        <w:t>公共服务支出455.5元，</w:t>
      </w:r>
      <w:r>
        <w:rPr>
          <w:rFonts w:hint="eastAsia" w:ascii="仿宋_GB2312" w:hAnsi="ˎ̥" w:eastAsia="仿宋_GB2312"/>
          <w:sz w:val="32"/>
          <w:szCs w:val="32"/>
          <w:lang w:val="en-US"/>
        </w:rPr>
        <w:t>占</w:t>
      </w:r>
      <w:r>
        <w:rPr>
          <w:rFonts w:hint="eastAsia" w:ascii="仿宋_GB2312" w:hAnsi="ˎ̥" w:eastAsia="仿宋_GB2312"/>
          <w:sz w:val="32"/>
          <w:szCs w:val="32"/>
          <w:lang w:val="en-US" w:eastAsia="zh-CN"/>
        </w:rPr>
        <w:t>78.31</w:t>
      </w:r>
      <w:r>
        <w:rPr>
          <w:rFonts w:hint="eastAsia" w:ascii="仿宋_GB2312" w:hAnsi="ˎ̥" w:eastAsia="仿宋_GB2312"/>
          <w:sz w:val="32"/>
          <w:szCs w:val="32"/>
          <w:lang w:val="en-US"/>
        </w:rPr>
        <w:t>%</w:t>
      </w:r>
      <w:r>
        <w:rPr>
          <w:rFonts w:hint="eastAsia" w:ascii="仿宋_GB2312" w:hAnsi="ˎ̥" w:eastAsia="仿宋_GB2312"/>
          <w:sz w:val="32"/>
          <w:szCs w:val="32"/>
          <w:lang w:val="en-US" w:eastAsia="zh-CN"/>
        </w:rPr>
        <w:t xml:space="preserve"> ；</w:t>
      </w:r>
      <w:r>
        <w:rPr>
          <w:rFonts w:hint="eastAsia" w:ascii="仿宋_GB2312" w:hAnsi="ˎ̥" w:eastAsia="仿宋_GB2312"/>
          <w:b/>
          <w:sz w:val="32"/>
          <w:szCs w:val="32"/>
        </w:rPr>
        <w:t>卫生健康支出（类）</w:t>
      </w:r>
      <w:r>
        <w:rPr>
          <w:rFonts w:hint="eastAsia" w:ascii="仿宋_GB2312" w:hAnsi="ˎ̥" w:eastAsia="仿宋_GB2312"/>
          <w:sz w:val="32"/>
          <w:szCs w:val="32"/>
        </w:rPr>
        <w:t>支出</w:t>
      </w:r>
      <w:r>
        <w:rPr>
          <w:rFonts w:hint="eastAsia" w:ascii="仿宋_GB2312" w:hAnsi="ˎ̥" w:eastAsia="仿宋_GB2312"/>
          <w:sz w:val="32"/>
          <w:szCs w:val="32"/>
          <w:lang w:val="en-US" w:eastAsia="zh-CN"/>
        </w:rPr>
        <w:t>31.6</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5.4</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52.86万元，占9.08</w:t>
      </w:r>
      <w:r>
        <w:rPr>
          <w:rFonts w:hint="eastAsia" w:ascii="仿宋_GB2312" w:hAnsi="ˎ̥" w:eastAsia="仿宋_GB2312"/>
          <w:sz w:val="32"/>
          <w:szCs w:val="32"/>
        </w:rPr>
        <w:t>%；</w:t>
      </w:r>
      <w:r>
        <w:rPr>
          <w:rFonts w:hint="eastAsia" w:ascii="仿宋_GB2312" w:hAnsi="ˎ̥" w:eastAsia="仿宋_GB2312"/>
          <w:b/>
          <w:bCs/>
          <w:sz w:val="32"/>
          <w:szCs w:val="32"/>
        </w:rPr>
        <w:t>住房保障</w:t>
      </w:r>
      <w:r>
        <w:rPr>
          <w:rFonts w:hint="eastAsia" w:ascii="仿宋_GB2312" w:hAnsi="ˎ̥" w:eastAsia="仿宋_GB2312"/>
          <w:b/>
          <w:bCs/>
          <w:sz w:val="32"/>
          <w:szCs w:val="32"/>
          <w:lang w:eastAsia="zh-CN"/>
        </w:rPr>
        <w:t>（</w:t>
      </w:r>
      <w:r>
        <w:rPr>
          <w:rFonts w:hint="eastAsia" w:ascii="仿宋_GB2312" w:hAnsi="ˎ̥" w:eastAsia="仿宋_GB2312"/>
          <w:b/>
          <w:bCs/>
          <w:sz w:val="32"/>
          <w:szCs w:val="32"/>
          <w:lang w:val="en-US" w:eastAsia="zh-CN"/>
        </w:rPr>
        <w:t>类</w:t>
      </w:r>
      <w:r>
        <w:rPr>
          <w:rFonts w:hint="eastAsia" w:ascii="仿宋_GB2312" w:hAnsi="ˎ̥" w:eastAsia="仿宋_GB2312"/>
          <w:b/>
          <w:bCs/>
          <w:sz w:val="32"/>
          <w:szCs w:val="32"/>
          <w:lang w:eastAsia="zh-CN"/>
        </w:rPr>
        <w:t>）</w:t>
      </w:r>
      <w:r>
        <w:rPr>
          <w:rFonts w:hint="eastAsia" w:ascii="仿宋_GB2312" w:hAnsi="ˎ̥" w:eastAsia="仿宋_GB2312"/>
          <w:sz w:val="32"/>
          <w:szCs w:val="32"/>
        </w:rPr>
        <w:t>支出</w:t>
      </w:r>
      <w:r>
        <w:rPr>
          <w:rFonts w:hint="eastAsia" w:ascii="仿宋_GB2312" w:hAnsi="ˎ̥" w:eastAsia="仿宋_GB2312"/>
          <w:sz w:val="32"/>
          <w:szCs w:val="32"/>
          <w:lang w:val="en-US" w:eastAsia="zh-CN"/>
        </w:rPr>
        <w:t>41.85万元，占7.19%。</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（三）一般公共预算财政拨款支出决算具体情况</w:t>
      </w:r>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581.63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581.63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社会保障和就业支出（类）行政事业单位养老支出（款）机关事业单位基本养老保险缴费支出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52.864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52.86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卫生健康支出（类）行政事业单位医疗（款）行政单位医疗（项）。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31.6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31.6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交通运输支出 （类）公路水路运输 （款）行政运行 （项）。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117.79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117.79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住房保障支出 （类）住房改革支出（款）住房公积金（项）。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41.85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41.85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11.</w:t>
      </w:r>
      <w:r>
        <w:rPr>
          <w:rFonts w:hint="eastAsia" w:ascii="仿宋_GB2312" w:hAnsi="ˎ̥" w:eastAsia="仿宋_GB2312"/>
          <w:b/>
          <w:sz w:val="32"/>
          <w:szCs w:val="32"/>
        </w:rPr>
        <w:t>债务付息支出 （类）地方政府一般债务付息支出（款）地方政府一般债券付息支出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eastAsia="zh-CN"/>
        </w:rPr>
        <w:t>546.51</w:t>
      </w:r>
      <w:r>
        <w:rPr>
          <w:rFonts w:hint="eastAsia" w:ascii="仿宋_GB2312" w:hAnsi="ˎ̥" w:eastAsia="仿宋_GB2312"/>
          <w:sz w:val="32"/>
          <w:szCs w:val="32"/>
        </w:rPr>
        <w:t>万元，其中：人员经费</w:t>
      </w:r>
      <w:r>
        <w:rPr>
          <w:rFonts w:hint="eastAsia" w:ascii="仿宋_GB2312" w:hAnsi="ˎ̥" w:eastAsia="仿宋_GB2312"/>
          <w:sz w:val="32"/>
          <w:szCs w:val="32"/>
          <w:lang w:val="en-US" w:eastAsia="zh-CN"/>
        </w:rPr>
        <w:t>518.72</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eastAsia="zh-CN"/>
        </w:rPr>
        <w:t>27.8</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w:t>
      </w:r>
      <w:r>
        <w:rPr>
          <w:rFonts w:hint="eastAsia" w:ascii="仿宋_GB2312" w:hAnsi="ˎ̥" w:eastAsia="仿宋_GB2312"/>
          <w:sz w:val="32"/>
          <w:szCs w:val="32"/>
          <w:lang w:val="en-US"/>
        </w:rPr>
        <w:t>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w:t>
      </w:r>
      <w:r>
        <w:rPr>
          <w:rFonts w:hint="eastAsia" w:ascii="仿宋_GB2312" w:hAnsi="ˎ̥" w:eastAsia="仿宋_GB2312"/>
          <w:sz w:val="32"/>
          <w:szCs w:val="32"/>
          <w:lang w:val="en-US"/>
        </w:rPr>
        <w:t>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val="en-US"/>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w:t>
      </w:r>
      <w:r>
        <w:rPr>
          <w:rFonts w:hint="eastAsia" w:ascii="仿宋_GB2312" w:hAnsi="ˎ̥" w:eastAsia="仿宋_GB2312"/>
          <w:sz w:val="32"/>
          <w:szCs w:val="32"/>
          <w:lang w:val="en-US"/>
        </w:rPr>
        <w:t>预算为</w:t>
      </w:r>
      <w:r>
        <w:rPr>
          <w:rFonts w:hint="eastAsia" w:ascii="仿宋_GB2312" w:hAnsi="ˎ̥" w:eastAsia="仿宋_GB2312"/>
          <w:sz w:val="32"/>
          <w:szCs w:val="32"/>
          <w:lang w:val="en-US" w:eastAsia="zh-CN"/>
        </w:rPr>
        <w:t>4.91</w:t>
      </w:r>
      <w:r>
        <w:rPr>
          <w:rFonts w:hint="eastAsia" w:ascii="仿宋_GB2312" w:hAnsi="ˎ̥" w:eastAsia="仿宋_GB2312"/>
          <w:sz w:val="32"/>
          <w:szCs w:val="32"/>
          <w:lang w:val="en-US"/>
        </w:rPr>
        <w:t>万元，支出决算为</w:t>
      </w:r>
      <w:r>
        <w:rPr>
          <w:rFonts w:hint="eastAsia" w:ascii="仿宋_GB2312" w:hAnsi="ˎ̥" w:eastAsia="仿宋_GB2312"/>
          <w:sz w:val="32"/>
          <w:szCs w:val="32"/>
          <w:lang w:val="en-US" w:eastAsia="zh-CN"/>
        </w:rPr>
        <w:t>4.91</w:t>
      </w:r>
      <w:r>
        <w:rPr>
          <w:rFonts w:hint="eastAsia" w:ascii="仿宋_GB2312" w:hAnsi="ˎ̥" w:eastAsia="仿宋_GB2312"/>
          <w:sz w:val="32"/>
          <w:szCs w:val="32"/>
          <w:lang w:val="en-US"/>
        </w:rPr>
        <w:t>万元，完成预算的</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年度相比，“三公”经费支出增加</w:t>
      </w:r>
      <w:r>
        <w:rPr>
          <w:rFonts w:hint="eastAsia" w:ascii="仿宋_GB2312" w:hAnsi="ˎ̥" w:eastAsia="仿宋_GB2312"/>
          <w:sz w:val="32"/>
          <w:szCs w:val="32"/>
          <w:lang w:val="en-US" w:eastAsia="zh-CN"/>
        </w:rPr>
        <w:t>1.13</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 xml:space="preserve">增加23.01 </w:t>
      </w:r>
      <w:r>
        <w:rPr>
          <w:rFonts w:hint="eastAsia" w:ascii="仿宋_GB2312" w:hAnsi="ˎ̥" w:eastAsia="仿宋_GB2312"/>
          <w:sz w:val="32"/>
          <w:szCs w:val="32"/>
          <w:lang w:val="en-US"/>
        </w:rPr>
        <w:t>%，主要原因是公务用车运行费</w:t>
      </w:r>
      <w:r>
        <w:rPr>
          <w:rFonts w:hint="eastAsia" w:ascii="仿宋_GB2312" w:hAnsi="ˎ̥" w:eastAsia="仿宋_GB2312"/>
          <w:sz w:val="32"/>
          <w:szCs w:val="32"/>
          <w:lang w:val="en-US" w:eastAsia="zh-CN"/>
        </w:rPr>
        <w:t>增加</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eastAsia" w:ascii="仿宋_GB2312" w:hAnsi="ˎ̥" w:eastAsia="仿宋_GB2312"/>
          <w:sz w:val="32"/>
          <w:szCs w:val="32"/>
          <w:lang w:val="en-US" w:eastAsia="zh-CN"/>
        </w:rPr>
        <w:t>4.91</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1.公务用车购置及运行维护费</w:t>
      </w:r>
      <w:r>
        <w:rPr>
          <w:rFonts w:hint="eastAsia" w:ascii="仿宋_GB2312" w:hAnsi="ˎ̥" w:eastAsia="仿宋_GB2312"/>
          <w:b w:val="0"/>
          <w:bCs/>
          <w:sz w:val="32"/>
          <w:szCs w:val="32"/>
        </w:rPr>
        <w:t>支出</w:t>
      </w:r>
      <w:r>
        <w:rPr>
          <w:rFonts w:hint="eastAsia" w:ascii="仿宋_GB2312" w:hAnsi="ˎ̥" w:eastAsia="仿宋_GB2312"/>
          <w:sz w:val="32"/>
          <w:szCs w:val="32"/>
          <w:lang w:val="en-US" w:eastAsia="zh-CN"/>
        </w:rPr>
        <w:t>4.91</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sz w:val="32"/>
          <w:szCs w:val="32"/>
          <w:lang w:val="en-US" w:eastAsia="zh-CN"/>
        </w:rPr>
        <w:t>0.00</w:t>
      </w:r>
      <w:r>
        <w:rPr>
          <w:rFonts w:hint="eastAsia" w:ascii="仿宋_GB2312" w:hAnsi="ˎ̥" w:eastAsia="仿宋_GB2312"/>
          <w:sz w:val="32"/>
          <w:szCs w:val="32"/>
          <w:lang w:val="en-US" w:eastAsia="zh-CN"/>
        </w:rPr>
        <w:t>万元，全年购置公务用车0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1辆。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4.91万</w:t>
      </w:r>
      <w:r>
        <w:rPr>
          <w:rFonts w:hint="eastAsia" w:ascii="仿宋_GB2312" w:hAnsi="ˎ̥" w:eastAsia="仿宋_GB2312"/>
          <w:sz w:val="32"/>
          <w:szCs w:val="32"/>
        </w:rPr>
        <w:t>元，主要用于</w:t>
      </w:r>
      <w:r>
        <w:rPr>
          <w:rFonts w:hint="eastAsia" w:ascii="仿宋_GB2312" w:hAnsi="ˎ̥" w:eastAsia="仿宋_GB2312"/>
          <w:sz w:val="32"/>
          <w:szCs w:val="32"/>
          <w:lang w:val="en-US" w:eastAsia="zh-CN"/>
        </w:rPr>
        <w:t>车辆维修维护</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年度相比，公务用车购置及运行维护费支出</w:t>
      </w:r>
      <w:r>
        <w:rPr>
          <w:rFonts w:hint="eastAsia" w:ascii="仿宋_GB2312" w:hAnsi="ˎ̥" w:eastAsia="仿宋_GB2312"/>
          <w:sz w:val="32"/>
          <w:szCs w:val="32"/>
          <w:lang w:eastAsia="zh-CN"/>
        </w:rPr>
        <w:t>增加</w:t>
      </w:r>
      <w:r>
        <w:rPr>
          <w:rFonts w:hint="eastAsia" w:ascii="仿宋_GB2312" w:hAnsi="ˎ̥" w:eastAsia="仿宋_GB2312"/>
          <w:sz w:val="32"/>
          <w:szCs w:val="32"/>
          <w:lang w:val="en-US" w:eastAsia="zh-CN"/>
        </w:rPr>
        <w:t>1.13</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lang w:val="en-US" w:eastAsia="zh-CN"/>
        </w:rPr>
        <w:t xml:space="preserve">增加23.01 </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人员增加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2024年度我单位未进行绩效自评工作。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下一步改进措施：一是强化责任意识；二是完善工作制度；三是加强业务培训；四是建立预警机制；五是严格考核问责</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90" w:name="_Toc8808_WPSOffice_Level1"/>
      <w:bookmarkStart w:id="91" w:name="_Toc15425_WPSOffice_Level1"/>
      <w:bookmarkStart w:id="92" w:name="_Toc11039_WPSOffice_Level1"/>
      <w:bookmarkStart w:id="93" w:name="_Toc4398_WPSOffice_Level1"/>
      <w:bookmarkStart w:id="94" w:name="_Toc17580_WPSOffice_Level1"/>
      <w:bookmarkStart w:id="95" w:name="_Toc8874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90"/>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bookmarkStart w:id="96" w:name="_GoBack"/>
      <w:bookmarkEnd w:id="96"/>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黑体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B64024"/>
    <w:multiLevelType w:val="singleLevel"/>
    <w:tmpl w:val="A9B64024"/>
    <w:lvl w:ilvl="0" w:tentative="0">
      <w:start w:val="2"/>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ZmVlNGJlMTVlY2ViNDE4Y2IyMzVlZGNmOWNhNmU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86F78"/>
    <w:rsid w:val="00DB612B"/>
    <w:rsid w:val="00DC2A37"/>
    <w:rsid w:val="00E07782"/>
    <w:rsid w:val="00E70EA3"/>
    <w:rsid w:val="00F0336A"/>
    <w:rsid w:val="00F06DA9"/>
    <w:rsid w:val="00F103D6"/>
    <w:rsid w:val="00F25220"/>
    <w:rsid w:val="00FA2884"/>
    <w:rsid w:val="00FC03DC"/>
    <w:rsid w:val="00FC5708"/>
    <w:rsid w:val="053F47B7"/>
    <w:rsid w:val="066C1EE3"/>
    <w:rsid w:val="068D7D13"/>
    <w:rsid w:val="080A42D7"/>
    <w:rsid w:val="09201287"/>
    <w:rsid w:val="0926468B"/>
    <w:rsid w:val="0BF57DE5"/>
    <w:rsid w:val="0C362146"/>
    <w:rsid w:val="0CA51D18"/>
    <w:rsid w:val="0FC80124"/>
    <w:rsid w:val="10352817"/>
    <w:rsid w:val="112E43DE"/>
    <w:rsid w:val="11DA359C"/>
    <w:rsid w:val="120A4ECE"/>
    <w:rsid w:val="12326933"/>
    <w:rsid w:val="132A2FCA"/>
    <w:rsid w:val="136F98C7"/>
    <w:rsid w:val="13A459FD"/>
    <w:rsid w:val="14BC6F88"/>
    <w:rsid w:val="17427E68"/>
    <w:rsid w:val="1755065F"/>
    <w:rsid w:val="17666F88"/>
    <w:rsid w:val="1A700259"/>
    <w:rsid w:val="1A8C3187"/>
    <w:rsid w:val="1AFC29C9"/>
    <w:rsid w:val="1B551959"/>
    <w:rsid w:val="1B8279E2"/>
    <w:rsid w:val="1CA52F2E"/>
    <w:rsid w:val="1D037280"/>
    <w:rsid w:val="1DFA6D4B"/>
    <w:rsid w:val="1DFE370B"/>
    <w:rsid w:val="1E3630B9"/>
    <w:rsid w:val="1F2130DA"/>
    <w:rsid w:val="2060021B"/>
    <w:rsid w:val="21215DA2"/>
    <w:rsid w:val="21D569E7"/>
    <w:rsid w:val="220953B1"/>
    <w:rsid w:val="24506BBD"/>
    <w:rsid w:val="25C079FC"/>
    <w:rsid w:val="260E5A3B"/>
    <w:rsid w:val="26865C64"/>
    <w:rsid w:val="26EEC2B5"/>
    <w:rsid w:val="27015CB5"/>
    <w:rsid w:val="27E128C6"/>
    <w:rsid w:val="29472309"/>
    <w:rsid w:val="2AAE5776"/>
    <w:rsid w:val="2B406E77"/>
    <w:rsid w:val="2C2A0C43"/>
    <w:rsid w:val="2C510C01"/>
    <w:rsid w:val="2C832777"/>
    <w:rsid w:val="2D1E73A5"/>
    <w:rsid w:val="2E6138BF"/>
    <w:rsid w:val="2F5F52D8"/>
    <w:rsid w:val="30CB1738"/>
    <w:rsid w:val="31057BAF"/>
    <w:rsid w:val="31E87920"/>
    <w:rsid w:val="32717154"/>
    <w:rsid w:val="34773C0D"/>
    <w:rsid w:val="34B63260"/>
    <w:rsid w:val="35292AB8"/>
    <w:rsid w:val="37FDA7E2"/>
    <w:rsid w:val="39834D08"/>
    <w:rsid w:val="3A314D88"/>
    <w:rsid w:val="3A746883"/>
    <w:rsid w:val="3C2028BE"/>
    <w:rsid w:val="3CA15DE9"/>
    <w:rsid w:val="3E691DE9"/>
    <w:rsid w:val="3F9133A5"/>
    <w:rsid w:val="3FE61EE5"/>
    <w:rsid w:val="4016269C"/>
    <w:rsid w:val="403E5686"/>
    <w:rsid w:val="406508EE"/>
    <w:rsid w:val="408D6263"/>
    <w:rsid w:val="40EC1529"/>
    <w:rsid w:val="416816A5"/>
    <w:rsid w:val="41B40CEE"/>
    <w:rsid w:val="427A18C1"/>
    <w:rsid w:val="430430FB"/>
    <w:rsid w:val="437E3D84"/>
    <w:rsid w:val="45E9259A"/>
    <w:rsid w:val="46883A56"/>
    <w:rsid w:val="48317291"/>
    <w:rsid w:val="485F7024"/>
    <w:rsid w:val="48E70666"/>
    <w:rsid w:val="495952D5"/>
    <w:rsid w:val="49BE7AE0"/>
    <w:rsid w:val="4BDE1A74"/>
    <w:rsid w:val="4C6877E5"/>
    <w:rsid w:val="4D596AE6"/>
    <w:rsid w:val="4D6A468D"/>
    <w:rsid w:val="4EA86137"/>
    <w:rsid w:val="4EC7155C"/>
    <w:rsid w:val="53F977B2"/>
    <w:rsid w:val="56CA7FD0"/>
    <w:rsid w:val="576C0F21"/>
    <w:rsid w:val="57FA38D1"/>
    <w:rsid w:val="580A298C"/>
    <w:rsid w:val="588D7D6F"/>
    <w:rsid w:val="58AE29D1"/>
    <w:rsid w:val="5A3B5DF2"/>
    <w:rsid w:val="5C8A2D71"/>
    <w:rsid w:val="5EDA56DD"/>
    <w:rsid w:val="5F7D3333"/>
    <w:rsid w:val="610157B5"/>
    <w:rsid w:val="61385890"/>
    <w:rsid w:val="61461DEA"/>
    <w:rsid w:val="620E030C"/>
    <w:rsid w:val="634C2397"/>
    <w:rsid w:val="63681160"/>
    <w:rsid w:val="63D25BB7"/>
    <w:rsid w:val="660E23C5"/>
    <w:rsid w:val="66C17BC4"/>
    <w:rsid w:val="67247F90"/>
    <w:rsid w:val="684566A5"/>
    <w:rsid w:val="687436E1"/>
    <w:rsid w:val="68A52AC9"/>
    <w:rsid w:val="6B9A1B5F"/>
    <w:rsid w:val="6BF9127A"/>
    <w:rsid w:val="6CB82F5B"/>
    <w:rsid w:val="6D8343C6"/>
    <w:rsid w:val="6DA45C50"/>
    <w:rsid w:val="6DFB7AD2"/>
    <w:rsid w:val="6E9A7825"/>
    <w:rsid w:val="6ED23B5B"/>
    <w:rsid w:val="6F0D4530"/>
    <w:rsid w:val="6F670F9B"/>
    <w:rsid w:val="711315BD"/>
    <w:rsid w:val="72F01F37"/>
    <w:rsid w:val="737450E0"/>
    <w:rsid w:val="74054476"/>
    <w:rsid w:val="742F38C4"/>
    <w:rsid w:val="74AB66DC"/>
    <w:rsid w:val="74C4154C"/>
    <w:rsid w:val="75956FFF"/>
    <w:rsid w:val="7683646B"/>
    <w:rsid w:val="768D1A89"/>
    <w:rsid w:val="76A80DE3"/>
    <w:rsid w:val="77201599"/>
    <w:rsid w:val="77AA2D01"/>
    <w:rsid w:val="78DB0FB8"/>
    <w:rsid w:val="791233D8"/>
    <w:rsid w:val="79584EB9"/>
    <w:rsid w:val="7A664F23"/>
    <w:rsid w:val="7C174657"/>
    <w:rsid w:val="7CDE1DBD"/>
    <w:rsid w:val="7CEF0D1B"/>
    <w:rsid w:val="7D931228"/>
    <w:rsid w:val="7D943A85"/>
    <w:rsid w:val="7DAE32F9"/>
    <w:rsid w:val="7DB0448C"/>
    <w:rsid w:val="7E5F9AA4"/>
    <w:rsid w:val="7EB63DEE"/>
    <w:rsid w:val="7FD66B37"/>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6894</Words>
  <Characters>7689</Characters>
  <Lines>67</Lines>
  <Paragraphs>18</Paragraphs>
  <TotalTime>0</TotalTime>
  <ScaleCrop>false</ScaleCrop>
  <LinksUpToDate>false</LinksUpToDate>
  <CharactersWithSpaces>7792</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2026-02-02T08:28:54Z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