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西藏那曲申扎县申扎镇人民政府2024年度部门决算公开报告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704_WPSOffice_Level1"/>
      <w:bookmarkStart w:id="3" w:name="_Toc10720_WPSOffice_Level1"/>
      <w:bookmarkStart w:id="4" w:name="_Toc10049_WPSOffice_Level1"/>
      <w:bookmarkStart w:id="5" w:name="_Toc22941_WPSOffice_Level1"/>
      <w:bookmarkStart w:id="6" w:name="_Toc23465_WPSOffice_Level1"/>
      <w:bookmarkStart w:id="7" w:name="_Toc32433_WPSOffice_Level1"/>
      <w:bookmarkStart w:id="8" w:name="_Toc24238_WPSOffice_Level2"/>
      <w:bookmarkStart w:id="9" w:name="_Toc14159_WPSOffice_Level2"/>
      <w:bookmarkStart w:id="10" w:name="_Toc20274_WPSOffice_Level2"/>
      <w:bookmarkStart w:id="11" w:name="_Toc20205_WPSOffice_Level2"/>
      <w:bookmarkStart w:id="12" w:name="_Toc32622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围绕政治建设、经济发展、民生服务、社会治理、生态保护五大板块，结合申扎县实际开展工作。申扎镇部门：党政办负责文秘、会务、机要保密等；党建办负责抓基层党建、党员教育管理等；经发展负责编制镇域经济与乡村振兴规划等；平安办负责制定应急预案、处置突发事件；便民服务中心负责群众说事接访等；农牧中心负责推广牧民新技术、草原生态保护等；文化站负责文体活动等；民生办负责民政、社保、医保等。所有部门均需完成党委、政府交办的其他任务，服务区域群众。</w:t>
      </w:r>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474_WPSOffice_Level2"/>
      <w:bookmarkStart w:id="16" w:name="_Toc24059_WPSOffice_Level2"/>
      <w:bookmarkStart w:id="17" w:name="_Toc17796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申扎县申扎镇人民政府</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color w:val="auto"/>
          <w:sz w:val="32"/>
          <w:szCs w:val="32"/>
        </w:rPr>
      </w:pPr>
      <w:bookmarkStart w:id="121" w:name="_GoBack"/>
      <w:bookmarkStart w:id="19" w:name="_Toc25738_WPSOffice_Level2"/>
      <w:bookmarkStart w:id="20" w:name="_Toc24421_WPSOffice_Level2"/>
      <w:r>
        <w:rPr>
          <w:rFonts w:hint="eastAsia" w:ascii="方正楷体_GBK" w:hAnsi="方正楷体_GBK" w:eastAsia="方正楷体_GBK" w:cs="方正楷体_GBK"/>
          <w:color w:val="auto"/>
          <w:sz w:val="32"/>
          <w:szCs w:val="32"/>
        </w:rPr>
        <w:t>（一）</w:t>
      </w:r>
      <w:r>
        <w:rPr>
          <w:rFonts w:hint="default" w:ascii="方正楷体_GBK" w:hAnsi="方正楷体_GBK" w:eastAsia="方正楷体_GBK" w:cs="方正楷体_GBK"/>
          <w:color w:val="auto"/>
          <w:sz w:val="32"/>
          <w:szCs w:val="32"/>
          <w:lang w:val="en-US"/>
        </w:rPr>
        <w:t>申扎县申扎镇人民政府</w:t>
      </w:r>
      <w:r>
        <w:rPr>
          <w:rFonts w:hint="eastAsia" w:ascii="方正楷体_GBK" w:hAnsi="方正楷体_GBK" w:eastAsia="方正楷体_GBK" w:cs="方正楷体_GBK"/>
          <w:color w:val="auto"/>
          <w:sz w:val="32"/>
          <w:szCs w:val="32"/>
        </w:rPr>
        <w:t>部门本级</w:t>
      </w:r>
      <w:bookmarkEnd w:id="19"/>
      <w:bookmarkEnd w:id="20"/>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（注：如果是基层预算单位，没有下属单位的，可只说明单位内设机构即可。）</w:t>
      </w:r>
    </w:p>
    <w:p>
      <w:pPr>
        <w:spacing w:line="578" w:lineRule="exact"/>
        <w:jc w:val="center"/>
        <w:rPr>
          <w:rFonts w:hint="eastAsia" w:ascii="黑体" w:hAnsi="ˎ̥" w:eastAsia="黑体"/>
          <w:color w:val="auto"/>
          <w:sz w:val="32"/>
          <w:szCs w:val="32"/>
        </w:rPr>
      </w:pPr>
      <w:bookmarkStart w:id="21" w:name="_Toc30690_WPSOffice_Level1"/>
      <w:bookmarkStart w:id="22" w:name="_Toc28253_WPSOffice_Level1"/>
      <w:bookmarkStart w:id="23" w:name="_Toc15521_WPSOffice_Level1"/>
      <w:bookmarkStart w:id="24" w:name="_Toc8164_WPSOffice_Level1"/>
      <w:bookmarkStart w:id="25" w:name="_Toc30451_WPSOffice_Level1"/>
      <w:bookmarkStart w:id="26" w:name="_Toc6234_WPSOffice_Level1"/>
      <w:bookmarkStart w:id="27" w:name="_Toc4029_WPSOffice_Level2"/>
      <w:bookmarkStart w:id="28" w:name="_Toc6211_WPSOffice_Level2"/>
      <w:bookmarkStart w:id="29" w:name="_Toc32695_WPSOffice_Level2"/>
      <w:bookmarkStart w:id="30" w:name="_Toc32472_WPSOffice_Level2"/>
      <w:bookmarkStart w:id="31" w:name="_Toc11518_WPSOffice_Level2"/>
      <w:bookmarkStart w:id="32" w:name="_Toc8867_WPSOffice_Level2"/>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rPr>
      </w:pPr>
      <w:bookmarkStart w:id="33" w:name="_Toc26621_WPSOffice_Level2"/>
      <w:bookmarkStart w:id="34" w:name="_Toc30334_WPSOffice_Level2"/>
      <w:bookmarkStart w:id="35" w:name="_Toc28622_WPSOffice_Level2"/>
      <w:bookmarkStart w:id="36" w:name="_Toc25608_WPSOffice_Level2"/>
      <w:bookmarkStart w:id="37" w:name="_Toc23139_WPSOffice_Level2"/>
      <w:bookmarkStart w:id="38" w:name="_Toc14349_WPSOffice_Level2"/>
      <w:r>
        <w:rPr>
          <w:rFonts w:hint="eastAsia" w:ascii="黑体" w:hAnsi="黑体" w:eastAsia="黑体" w:cs="黑体"/>
          <w:color w:val="auto"/>
          <w:sz w:val="32"/>
          <w:szCs w:val="32"/>
        </w:rPr>
        <w:t>二、收入决算公开表</w:t>
      </w:r>
      <w:bookmarkEnd w:id="33"/>
      <w:bookmarkEnd w:id="34"/>
      <w:bookmarkEnd w:id="35"/>
      <w:bookmarkEnd w:id="36"/>
      <w:bookmarkEnd w:id="37"/>
      <w:bookmarkEnd w:id="38"/>
      <w:bookmarkStart w:id="39" w:name="_Toc17858_WPSOffice_Level2"/>
      <w:bookmarkStart w:id="40" w:name="_Toc5489_WPSOffice_Level2"/>
      <w:bookmarkStart w:id="41" w:name="_Toc13854_WPSOffice_Level2"/>
      <w:bookmarkStart w:id="42" w:name="_Toc14658_WPSOffice_Level2"/>
      <w:bookmarkStart w:id="43" w:name="_Toc3262_WPSOffice_Level2"/>
      <w:bookmarkStart w:id="44" w:name="_Toc17626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9"/>
      <w:bookmarkEnd w:id="40"/>
      <w:bookmarkEnd w:id="41"/>
      <w:bookmarkEnd w:id="42"/>
      <w:bookmarkEnd w:id="43"/>
      <w:bookmarkEnd w:id="44"/>
      <w:bookmarkStart w:id="45" w:name="_Toc23591_WPSOffice_Level2"/>
      <w:bookmarkStart w:id="46" w:name="_Toc7988_WPSOffice_Level2"/>
      <w:bookmarkStart w:id="47" w:name="_Toc13701_WPSOffice_Level2"/>
      <w:bookmarkStart w:id="48" w:name="_Toc4265_WPSOffice_Level2"/>
      <w:bookmarkStart w:id="49" w:name="_Toc21415_WPSOffice_Level2"/>
      <w:bookmarkStart w:id="50" w:name="_Toc2349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rPr>
      </w:pPr>
      <w:bookmarkStart w:id="51" w:name="_Toc25166_WPSOffice_Level2"/>
      <w:bookmarkStart w:id="52" w:name="_Toc22783_WPSOffice_Level2"/>
      <w:bookmarkStart w:id="53" w:name="_Toc23829_WPSOffice_Level2"/>
      <w:bookmarkStart w:id="54" w:name="_Toc7879_WPSOffice_Level2"/>
      <w:bookmarkStart w:id="55" w:name="_Toc13516_WPSOffice_Level2"/>
      <w:bookmarkStart w:id="56" w:name="_Toc2158_WPSOffice_Level2"/>
      <w:r>
        <w:rPr>
          <w:rFonts w:hint="eastAsia" w:ascii="黑体" w:hAnsi="黑体" w:eastAsia="黑体" w:cs="黑体"/>
          <w:color w:val="auto"/>
          <w:sz w:val="32"/>
          <w:szCs w:val="32"/>
        </w:rPr>
        <w:t>五、一般公共预算财政拨款收入支出决算</w:t>
      </w:r>
      <w:bookmarkEnd w:id="51"/>
      <w:bookmarkEnd w:id="52"/>
      <w:bookmarkEnd w:id="53"/>
      <w:bookmarkEnd w:id="54"/>
      <w:r>
        <w:rPr>
          <w:rFonts w:hint="eastAsia" w:ascii="黑体" w:hAnsi="黑体" w:eastAsia="黑体" w:cs="黑体"/>
          <w:color w:val="auto"/>
          <w:sz w:val="32"/>
          <w:szCs w:val="32"/>
        </w:rPr>
        <w:t>公开表</w:t>
      </w:r>
      <w:bookmarkEnd w:id="55"/>
      <w:bookmarkEnd w:id="56"/>
      <w:bookmarkStart w:id="57" w:name="_Toc2632_WPSOffice_Level2"/>
      <w:bookmarkStart w:id="58" w:name="_Toc17283_WPSOffice_Level2"/>
      <w:bookmarkStart w:id="59" w:name="_Toc8373_WPSOffice_Level2"/>
      <w:bookmarkStart w:id="60" w:name="_Toc5343_WPSOffice_Level2"/>
      <w:bookmarkStart w:id="61" w:name="_Toc25362_WPSOffice_Level2"/>
      <w:bookmarkStart w:id="62" w:name="_Toc1783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3" w:name="_Toc5594_WPSOffice_Level2"/>
      <w:bookmarkStart w:id="64" w:name="_Toc21310_WPSOffice_Level2"/>
      <w:bookmarkStart w:id="65" w:name="_Toc1533_WPSOffice_Level2"/>
      <w:bookmarkStart w:id="66" w:name="_Toc13345_WPSOffice_Level2"/>
      <w:bookmarkStart w:id="67" w:name="_Toc6020_WPSOffice_Level2"/>
      <w:bookmarkStart w:id="68" w:name="_Toc11799_WPSOffice_Level2"/>
      <w:r>
        <w:rPr>
          <w:rFonts w:hint="eastAsia" w:ascii="黑体" w:hAnsi="黑体" w:eastAsia="黑体" w:cs="黑体"/>
          <w:color w:val="auto"/>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9" w:name="_Toc9377_WPSOffice_Level2"/>
      <w:bookmarkStart w:id="70" w:name="_Toc29886_WPSOffice_Level2"/>
      <w:bookmarkStart w:id="71" w:name="_Toc1820_WPSOffice_Level2"/>
      <w:bookmarkStart w:id="72" w:name="_Toc19961_WPSOffice_Level2"/>
      <w:r>
        <w:rPr>
          <w:rFonts w:hint="eastAsia" w:ascii="黑体" w:hAnsi="黑体" w:eastAsia="黑体" w:cs="黑体"/>
          <w:color w:val="auto"/>
          <w:sz w:val="32"/>
          <w:szCs w:val="32"/>
        </w:rPr>
        <w:t>九、财政拨款“三公”经费支出决算</w:t>
      </w:r>
      <w:bookmarkEnd w:id="69"/>
      <w:bookmarkEnd w:id="70"/>
      <w:bookmarkEnd w:id="71"/>
      <w:bookmarkEnd w:id="72"/>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3" w:name="_Toc16686_WPSOffice_Level1"/>
      <w:bookmarkStart w:id="74" w:name="_Toc31264_WPSOffice_Level1"/>
      <w:bookmarkStart w:id="75" w:name="_Toc28629_WPSOffice_Level1"/>
      <w:bookmarkStart w:id="76" w:name="_Toc29683_WPSOffice_Level1"/>
      <w:bookmarkStart w:id="77" w:name="_Toc4402_WPSOffice_Level1"/>
      <w:bookmarkStart w:id="78" w:name="_Toc27590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3,69</w:t>
      </w:r>
      <w:r>
        <w:rPr>
          <w:rFonts w:hint="eastAsia" w:ascii="仿宋_GB2312" w:hAnsi="ˎ̥" w:eastAsia="仿宋_GB2312"/>
          <w:color w:val="auto"/>
          <w:sz w:val="32"/>
          <w:szCs w:val="32"/>
          <w:lang w:val="en-US" w:eastAsia="zh-CN"/>
        </w:rPr>
        <w:t>6</w:t>
      </w:r>
      <w:r>
        <w:rPr>
          <w:rFonts w:hint="default" w:ascii="仿宋_GB2312" w:hAnsi="ˎ̥" w:eastAsia="仿宋_GB2312"/>
          <w:color w:val="auto"/>
          <w:sz w:val="32"/>
          <w:szCs w:val="32"/>
          <w:lang w:val="en-US"/>
        </w:rPr>
        <w:t>.</w:t>
      </w:r>
      <w:r>
        <w:rPr>
          <w:rFonts w:hint="eastAsia" w:ascii="仿宋_GB2312" w:hAnsi="ˎ̥" w:eastAsia="仿宋_GB2312"/>
          <w:color w:val="auto"/>
          <w:sz w:val="32"/>
          <w:szCs w:val="32"/>
          <w:lang w:val="en-US" w:eastAsia="zh-CN"/>
        </w:rPr>
        <w:t>36</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3,69</w:t>
      </w:r>
      <w:r>
        <w:rPr>
          <w:rFonts w:hint="eastAsia" w:ascii="仿宋_GB2312" w:hAnsi="ˎ̥" w:eastAsia="仿宋_GB2312"/>
          <w:color w:val="auto"/>
          <w:sz w:val="32"/>
          <w:szCs w:val="32"/>
          <w:lang w:val="en-US" w:eastAsia="zh-CN"/>
        </w:rPr>
        <w:t>6</w:t>
      </w:r>
      <w:r>
        <w:rPr>
          <w:rFonts w:hint="default" w:ascii="仿宋_GB2312" w:hAnsi="ˎ̥" w:eastAsia="仿宋_GB2312"/>
          <w:color w:val="auto"/>
          <w:sz w:val="32"/>
          <w:szCs w:val="32"/>
          <w:lang w:val="en-US"/>
        </w:rPr>
        <w:t>.</w:t>
      </w:r>
      <w:r>
        <w:rPr>
          <w:rFonts w:hint="eastAsia" w:ascii="仿宋_GB2312" w:hAnsi="ˎ̥" w:eastAsia="仿宋_GB2312"/>
          <w:color w:val="auto"/>
          <w:sz w:val="32"/>
          <w:szCs w:val="32"/>
          <w:lang w:val="en-US" w:eastAsia="zh-CN"/>
        </w:rPr>
        <w:t>36</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default" w:ascii="仿宋_GB2312" w:hAnsi="ˎ̥" w:eastAsia="仿宋_GB2312"/>
          <w:color w:val="auto"/>
          <w:sz w:val="32"/>
          <w:szCs w:val="32"/>
          <w:lang w:val="en-US"/>
        </w:rPr>
        <w:t>322.8</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9.57</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项目增加</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人员增加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3,69</w:t>
      </w:r>
      <w:r>
        <w:rPr>
          <w:rFonts w:hint="eastAsia" w:ascii="仿宋_GB2312" w:hAnsi="ˎ̥" w:eastAsia="仿宋_GB2312"/>
          <w:color w:val="auto"/>
          <w:sz w:val="32"/>
          <w:szCs w:val="32"/>
          <w:lang w:val="en-US" w:eastAsia="zh-CN"/>
        </w:rPr>
        <w:t>6</w:t>
      </w:r>
      <w:r>
        <w:rPr>
          <w:rFonts w:hint="default" w:ascii="仿宋_GB2312" w:hAnsi="ˎ̥" w:eastAsia="仿宋_GB2312"/>
          <w:color w:val="auto"/>
          <w:sz w:val="32"/>
          <w:szCs w:val="32"/>
          <w:lang w:val="en-US"/>
        </w:rPr>
        <w:t>.</w:t>
      </w:r>
      <w:r>
        <w:rPr>
          <w:rFonts w:hint="eastAsia" w:ascii="仿宋_GB2312" w:hAnsi="ˎ̥" w:eastAsia="仿宋_GB2312"/>
          <w:color w:val="auto"/>
          <w:sz w:val="32"/>
          <w:szCs w:val="32"/>
          <w:lang w:val="en-US" w:eastAsia="zh-CN"/>
        </w:rPr>
        <w:t>36</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0.50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以前年度的基本账户利息</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default" w:ascii="仿宋_GB2312" w:hAnsi="ˎ̥" w:eastAsia="仿宋_GB2312"/>
          <w:color w:val="auto"/>
          <w:sz w:val="32"/>
          <w:szCs w:val="32"/>
          <w:lang w:val="en-US"/>
        </w:rPr>
        <w:t>39.6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98.75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及时对接县级财政收回结余资金，并取消乡镇基本账户</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eastAsia" w:ascii="仿宋_GB2312" w:hAnsi="ˎ̥" w:eastAsia="仿宋_GB2312"/>
          <w:color w:val="auto"/>
          <w:sz w:val="32"/>
          <w:szCs w:val="32"/>
          <w:lang w:val="en-US" w:eastAsia="zh-CN"/>
        </w:rPr>
        <w:t>3,696.36</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万元，主要是……（资金分配去向），较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万元，主要是……（简要说明结转结余的构成），较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年度部门决算报表财决01表《收入支出决算总表》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3,69</w:t>
      </w:r>
      <w:r>
        <w:rPr>
          <w:rFonts w:hint="eastAsia" w:ascii="仿宋_GB2312" w:hAnsi="ˎ̥" w:eastAsia="仿宋_GB2312"/>
          <w:color w:val="auto"/>
          <w:sz w:val="32"/>
          <w:szCs w:val="32"/>
          <w:lang w:val="en-US" w:eastAsia="zh-CN"/>
        </w:rPr>
        <w:t>6</w:t>
      </w:r>
      <w:r>
        <w:rPr>
          <w:rFonts w:hint="default" w:ascii="仿宋_GB2312" w:hAnsi="ˎ̥" w:eastAsia="仿宋_GB2312"/>
          <w:color w:val="auto"/>
          <w:sz w:val="32"/>
          <w:szCs w:val="32"/>
          <w:lang w:val="en-US"/>
        </w:rPr>
        <w:t>.</w:t>
      </w:r>
      <w:r>
        <w:rPr>
          <w:rFonts w:hint="eastAsia" w:ascii="仿宋_GB2312" w:hAnsi="ˎ̥" w:eastAsia="仿宋_GB2312"/>
          <w:color w:val="auto"/>
          <w:sz w:val="32"/>
          <w:szCs w:val="32"/>
          <w:lang w:val="en-US" w:eastAsia="zh-CN"/>
        </w:rPr>
        <w:t>36</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 xml:space="preserve">3,695.78 </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99.98</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0.02</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3,696.36</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3,023.40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81.79</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672.97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18.21</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3,695.78</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3,695.78</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default" w:ascii="仿宋_GB2312" w:hAnsi="ˎ̥" w:eastAsia="仿宋_GB2312"/>
          <w:color w:val="auto"/>
          <w:sz w:val="32"/>
          <w:szCs w:val="32"/>
          <w:lang w:val="en-US"/>
        </w:rPr>
        <w:t>418.32</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12.76</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项目增加</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人员增加</w:t>
      </w:r>
      <w:r>
        <w:rPr>
          <w:rFonts w:hint="eastAsia" w:ascii="仿宋_GB2312" w:hAnsi="ˎ̥" w:eastAsia="仿宋_GB2312"/>
          <w:color w:val="auto"/>
          <w:sz w:val="32"/>
          <w:szCs w:val="32"/>
        </w:rPr>
        <w:t>。支出增加</w:t>
      </w:r>
      <w:r>
        <w:rPr>
          <w:rFonts w:hint="default" w:ascii="仿宋_GB2312" w:hAnsi="ˎ̥" w:eastAsia="仿宋_GB2312"/>
          <w:color w:val="auto"/>
          <w:sz w:val="32"/>
          <w:szCs w:val="32"/>
          <w:lang w:val="en-US"/>
        </w:rPr>
        <w:t>418.32</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12.76</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项目增加</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人员增加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财政结余资金收回</w:t>
      </w:r>
      <w:r>
        <w:rPr>
          <w:rFonts w:hint="eastAsia" w:ascii="仿宋_GB2312" w:hAnsi="ˎ̥" w:eastAsia="仿宋_GB2312"/>
          <w:color w:val="auto"/>
          <w:sz w:val="32"/>
          <w:szCs w:val="32"/>
        </w:rPr>
        <w:t>（简要说明结转结余形成或来源），较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（简要说明结转结余的</w:t>
      </w:r>
      <w:r>
        <w:rPr>
          <w:rFonts w:ascii="仿宋_GB2312" w:hAnsi="ˎ̥" w:eastAsia="仿宋_GB2312"/>
          <w:color w:val="auto"/>
          <w:sz w:val="32"/>
          <w:szCs w:val="32"/>
        </w:rPr>
        <w:t>构成</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年度部门决算报表财决01-1表《财政拨款收入支出决算总表》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21737_WPSOffice_Level2"/>
      <w:bookmarkStart w:id="80" w:name="_Toc9989_WPSOffice_Level2"/>
      <w:bookmarkStart w:id="81" w:name="_Toc17398_WPSOffice_Level2"/>
      <w:bookmarkStart w:id="82" w:name="_Toc13694_WPSOffice_Level2"/>
      <w:bookmarkStart w:id="83" w:name="_Toc19665_WPSOffice_Level2"/>
      <w:bookmarkStart w:id="84" w:name="_Toc23005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3,695.78</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99.98</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default" w:ascii="仿宋_GB2312" w:hAnsi="ˎ̥" w:eastAsia="仿宋_GB2312"/>
          <w:color w:val="auto"/>
          <w:sz w:val="32"/>
          <w:szCs w:val="32"/>
          <w:lang w:val="en-US"/>
        </w:rPr>
        <w:t>418.32</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12.76</w:t>
      </w:r>
      <w:r>
        <w:rPr>
          <w:rFonts w:hint="eastAsia" w:ascii="仿宋_GB2312" w:hAnsi="ˎ̥" w:eastAsia="仿宋_GB2312"/>
          <w:color w:val="auto"/>
          <w:sz w:val="32"/>
          <w:szCs w:val="32"/>
        </w:rPr>
        <w:t>%，主要原因是一是</w:t>
      </w:r>
      <w:r>
        <w:rPr>
          <w:rFonts w:hint="eastAsia" w:ascii="仿宋_GB2312" w:hAnsi="ˎ̥" w:eastAsia="仿宋_GB2312"/>
          <w:color w:val="auto"/>
          <w:sz w:val="32"/>
          <w:szCs w:val="32"/>
          <w:lang w:val="en-US" w:eastAsia="zh-CN"/>
        </w:rPr>
        <w:t>项目增加</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人员增加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19075_WPSOffice_Level2"/>
      <w:bookmarkStart w:id="86" w:name="_Toc2711_WPSOffice_Level2"/>
      <w:bookmarkStart w:id="87" w:name="_Toc18793_WPSOffice_Level2"/>
      <w:bookmarkStart w:id="88" w:name="_Toc27767_WPSOffice_Level2"/>
      <w:bookmarkStart w:id="89" w:name="_Toc19535_WPSOffice_Level2"/>
      <w:bookmarkStart w:id="90" w:name="_Toc23864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3,695.78</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2,823.05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76.39</w:t>
      </w:r>
      <w:r>
        <w:rPr>
          <w:rFonts w:hint="eastAsia" w:ascii="仿宋_GB2312" w:hAnsi="ˎ̥" w:eastAsia="仿宋_GB2312"/>
          <w:color w:val="auto"/>
          <w:sz w:val="32"/>
          <w:szCs w:val="32"/>
        </w:rPr>
        <w:t>%；</w:t>
      </w:r>
      <w:r>
        <w:rPr>
          <w:rFonts w:hint="eastAsia" w:ascii="仿宋_GB2312" w:hAnsi="ˎ̥" w:eastAsia="仿宋_GB2312"/>
          <w:b/>
          <w:color w:val="auto"/>
          <w:sz w:val="32"/>
          <w:szCs w:val="32"/>
        </w:rPr>
        <w:t>教育支出（类）</w:t>
      </w:r>
      <w:r>
        <w:rPr>
          <w:rFonts w:hint="eastAsia" w:ascii="仿宋_GB2312" w:hAnsi="ˎ̥" w:eastAsia="仿宋_GB2312"/>
          <w:color w:val="auto"/>
          <w:sz w:val="32"/>
          <w:szCs w:val="32"/>
          <w:lang w:val="en-US" w:eastAsia="zh-CN"/>
        </w:rPr>
        <w:t>31.96万元，</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0.86</w:t>
      </w:r>
      <w:r>
        <w:rPr>
          <w:rFonts w:hint="eastAsia" w:ascii="仿宋_GB2312" w:hAnsi="ˎ̥" w:eastAsia="仿宋_GB2312"/>
          <w:color w:val="auto"/>
          <w:sz w:val="32"/>
          <w:szCs w:val="32"/>
        </w:rPr>
        <w:t>%；</w:t>
      </w:r>
      <w:r>
        <w:rPr>
          <w:rFonts w:hint="eastAsia" w:ascii="仿宋_GB2312" w:hAnsi="ˎ̥" w:eastAsia="仿宋_GB2312"/>
          <w:b/>
          <w:color w:val="auto"/>
          <w:sz w:val="32"/>
          <w:szCs w:val="32"/>
        </w:rPr>
        <w:t>文化旅游体育与传媒（类）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29.75 万元，</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0.8</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262.52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7.1%</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152.51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4.13%</w:t>
      </w:r>
      <w:r>
        <w:rPr>
          <w:rFonts w:hint="eastAsia" w:ascii="仿宋_GB2312" w:hAnsi="ˎ̥" w:eastAsia="仿宋_GB2312"/>
          <w:color w:val="auto"/>
          <w:sz w:val="32"/>
          <w:szCs w:val="32"/>
        </w:rPr>
        <w:t>；</w:t>
      </w:r>
      <w:r>
        <w:rPr>
          <w:rFonts w:hint="eastAsia" w:ascii="仿宋_GB2312" w:hAnsi="ˎ̥" w:eastAsia="仿宋_GB2312"/>
          <w:b/>
          <w:color w:val="auto"/>
          <w:sz w:val="32"/>
          <w:szCs w:val="32"/>
        </w:rPr>
        <w:t>节能环保（类）支</w:t>
      </w:r>
      <w:r>
        <w:rPr>
          <w:rFonts w:hint="eastAsia" w:ascii="仿宋_GB2312" w:hAnsi="ˎ̥" w:eastAsia="仿宋_GB2312"/>
          <w:color w:val="auto"/>
          <w:sz w:val="32"/>
          <w:szCs w:val="32"/>
        </w:rPr>
        <w:t>出</w:t>
      </w:r>
      <w:r>
        <w:rPr>
          <w:rFonts w:hint="eastAsia" w:ascii="仿宋_GB2312" w:hAnsi="ˎ̥" w:eastAsia="仿宋_GB2312"/>
          <w:color w:val="auto"/>
          <w:sz w:val="32"/>
          <w:szCs w:val="32"/>
          <w:lang w:val="en-US" w:eastAsia="zh-CN"/>
        </w:rPr>
        <w:t>18.78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0.51%</w:t>
      </w:r>
      <w:r>
        <w:rPr>
          <w:rFonts w:hint="eastAsia" w:ascii="仿宋_GB2312" w:hAnsi="ˎ̥" w:eastAsia="仿宋_GB2312"/>
          <w:color w:val="auto"/>
          <w:sz w:val="32"/>
          <w:szCs w:val="32"/>
        </w:rPr>
        <w:t>；</w:t>
      </w:r>
      <w:r>
        <w:rPr>
          <w:rFonts w:hint="eastAsia" w:ascii="仿宋_GB2312" w:hAnsi="ˎ̥" w:eastAsia="仿宋_GB2312"/>
          <w:b/>
          <w:color w:val="auto"/>
          <w:sz w:val="32"/>
          <w:szCs w:val="32"/>
        </w:rPr>
        <w:t>农林水（类）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 xml:space="preserve">181.80 </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4.92%</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194.70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5.27</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b/>
          <w:color w:val="auto"/>
          <w:sz w:val="32"/>
          <w:szCs w:val="32"/>
          <w:lang w:eastAsia="zh-CN"/>
        </w:rPr>
        <w:t>灾害防治及应急管理</w:t>
      </w:r>
      <w:r>
        <w:rPr>
          <w:rFonts w:hint="eastAsia" w:ascii="仿宋_GB2312" w:hAnsi="ˎ̥" w:eastAsia="仿宋_GB2312"/>
          <w:b/>
          <w:color w:val="auto"/>
          <w:sz w:val="32"/>
          <w:szCs w:val="32"/>
        </w:rPr>
        <w:t>（</w:t>
      </w:r>
      <w:r>
        <w:rPr>
          <w:rFonts w:hint="eastAsia" w:ascii="仿宋_GB2312" w:hAnsi="ˎ̥" w:eastAsia="仿宋_GB2312"/>
          <w:b/>
          <w:bCs/>
          <w:color w:val="auto"/>
          <w:sz w:val="32"/>
          <w:szCs w:val="32"/>
        </w:rPr>
        <w:t>类）</w:t>
      </w:r>
      <w:r>
        <w:rPr>
          <w:rFonts w:hint="eastAsia" w:ascii="仿宋_GB2312" w:hAnsi="ˎ̥" w:eastAsia="仿宋_GB2312"/>
          <w:color w:val="auto"/>
          <w:sz w:val="32"/>
          <w:szCs w:val="32"/>
          <w:lang w:eastAsia="zh-CN"/>
        </w:rPr>
        <w:t>支出</w:t>
      </w:r>
      <w:r>
        <w:rPr>
          <w:rFonts w:hint="eastAsia" w:ascii="仿宋_GB2312" w:hAnsi="ˎ̥" w:eastAsia="仿宋_GB2312"/>
          <w:color w:val="auto"/>
          <w:sz w:val="32"/>
          <w:szCs w:val="32"/>
          <w:lang w:val="en-US" w:eastAsia="zh-CN"/>
        </w:rPr>
        <w:t>0.73 万元，占0.02%</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5136_WPSOffice_Level2"/>
      <w:bookmarkStart w:id="92" w:name="_Toc29364_WPSOffice_Level2"/>
      <w:bookmarkStart w:id="93" w:name="_Toc15415_WPSOffice_Level2"/>
      <w:bookmarkStart w:id="94" w:name="_Toc22318_WPSOffice_Level2"/>
      <w:bookmarkStart w:id="95" w:name="_Toc9502_WPSOffice_Level2"/>
      <w:bookmarkStart w:id="96" w:name="_Toc21701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default" w:ascii="仿宋_GB2312" w:hAnsi="ˎ̥" w:eastAsia="仿宋_GB2312"/>
          <w:color w:val="auto"/>
          <w:sz w:val="32"/>
          <w:szCs w:val="32"/>
          <w:lang w:val="en-US"/>
        </w:rPr>
        <w:t>3,695.78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3,695.78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一般公共服务（类）人大事务（款）其他人大事务支出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23.51</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23.51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2.</w:t>
      </w:r>
      <w:r>
        <w:rPr>
          <w:rFonts w:hint="eastAsia" w:ascii="仿宋_GB2312" w:hAnsi="ˎ̥" w:eastAsia="仿宋_GB2312"/>
          <w:b/>
          <w:color w:val="auto"/>
          <w:sz w:val="32"/>
          <w:szCs w:val="32"/>
        </w:rPr>
        <w:t>一般公共服务（类）政府办公厅（室）及相关机构事务（款）行政运行（项）。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 xml:space="preserve">1,950.15 </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 xml:space="preserve">1,950.15 </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w:t>
      </w:r>
      <w:r>
        <w:rPr>
          <w:rFonts w:hint="eastAsia" w:ascii="仿宋_GB2312" w:hAnsi="ˎ̥" w:eastAsia="仿宋_GB2312"/>
          <w:b/>
          <w:color w:val="auto"/>
          <w:sz w:val="32"/>
          <w:szCs w:val="32"/>
        </w:rPr>
        <w:t>一般公共服务（类）政府办公厅（室）及相关机构事务（款）其他政府办公厅（室）及相关机构事务支出（项）。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233.75</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233.75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w:t>
      </w:r>
      <w:r>
        <w:rPr>
          <w:rFonts w:hint="eastAsia" w:ascii="仿宋_GB2312" w:hAnsi="ˎ̥" w:eastAsia="仿宋_GB2312"/>
          <w:b/>
          <w:color w:val="auto"/>
          <w:sz w:val="32"/>
          <w:szCs w:val="32"/>
        </w:rPr>
        <w:t>一般公共服务（类）组织事务（款）其他组织事务支出（项）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 xml:space="preserve">615.12 </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 xml:space="preserve">615.12 </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w:t>
      </w:r>
      <w:r>
        <w:rPr>
          <w:rFonts w:hint="eastAsia" w:ascii="仿宋_GB2312" w:hAnsi="ˎ̥" w:eastAsia="仿宋_GB2312"/>
          <w:b/>
          <w:color w:val="auto"/>
          <w:sz w:val="32"/>
          <w:szCs w:val="32"/>
        </w:rPr>
        <w:t>一般公共服务（类）统战事务（款）其他统战事务支出（项）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b/>
          <w:bCs/>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0.52</w:t>
      </w:r>
      <w:r>
        <w:rPr>
          <w:rFonts w:hint="default" w:ascii="仿宋_GB2312" w:hAnsi="ˎ̥" w:eastAsia="仿宋_GB2312"/>
          <w:color w:val="auto"/>
          <w:sz w:val="32"/>
          <w:szCs w:val="32"/>
          <w:lang w:val="en-US"/>
        </w:rPr>
        <w:t xml:space="preserve"> </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0.52</w:t>
      </w:r>
      <w:r>
        <w:rPr>
          <w:rFonts w:hint="default" w:ascii="仿宋_GB2312" w:hAnsi="ˎ̥" w:eastAsia="仿宋_GB2312"/>
          <w:color w:val="auto"/>
          <w:sz w:val="32"/>
          <w:szCs w:val="32"/>
          <w:lang w:val="en-US"/>
        </w:rPr>
        <w:t xml:space="preserve"> </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6</w:t>
      </w:r>
      <w:r>
        <w:rPr>
          <w:rFonts w:hint="eastAsia" w:ascii="仿宋_GB2312" w:hAnsi="ˎ̥" w:eastAsia="仿宋_GB2312"/>
          <w:b/>
          <w:color w:val="auto"/>
          <w:sz w:val="32"/>
          <w:szCs w:val="32"/>
        </w:rPr>
        <w:t>.教育支出 （类）教育管理事务（款）其他教育管理事务支出（项）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年初预算为31.96 万元，支出决算为31.96 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7</w:t>
      </w:r>
      <w:r>
        <w:rPr>
          <w:rFonts w:hint="eastAsia" w:ascii="仿宋_GB2312" w:hAnsi="ˎ̥" w:eastAsia="仿宋_GB2312"/>
          <w:b/>
          <w:color w:val="auto"/>
          <w:sz w:val="32"/>
          <w:szCs w:val="32"/>
        </w:rPr>
        <w:t>.文化旅游体育与传媒支出 （类）文化和旅游 （款）</w:t>
      </w:r>
      <w:r>
        <w:rPr>
          <w:rFonts w:hint="eastAsia" w:ascii="仿宋_GB2312" w:hAnsi="ˎ̥" w:eastAsia="仿宋_GB2312"/>
          <w:b/>
          <w:color w:val="auto"/>
          <w:sz w:val="32"/>
          <w:szCs w:val="32"/>
          <w:lang w:val="en-US" w:eastAsia="zh-CN"/>
        </w:rPr>
        <w:t>文</w:t>
      </w:r>
      <w:r>
        <w:rPr>
          <w:rFonts w:hint="eastAsia" w:ascii="仿宋_GB2312" w:hAnsi="ˎ̥" w:eastAsia="仿宋_GB2312"/>
          <w:b/>
          <w:color w:val="auto"/>
          <w:sz w:val="32"/>
          <w:szCs w:val="32"/>
        </w:rPr>
        <w:t>化活动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年初预算为4.75万元，支出决算为4.75万元，完成年初预算的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8</w:t>
      </w:r>
      <w:r>
        <w:rPr>
          <w:rFonts w:hint="eastAsia" w:ascii="仿宋_GB2312" w:hAnsi="ˎ̥" w:eastAsia="仿宋_GB2312"/>
          <w:b/>
          <w:color w:val="auto"/>
          <w:sz w:val="32"/>
          <w:szCs w:val="32"/>
        </w:rPr>
        <w:t>.文化旅游体育与传媒支出 （类）文化和旅游 （款）其他文化和旅游支出（项）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9</w:t>
      </w:r>
      <w:r>
        <w:rPr>
          <w:rFonts w:hint="eastAsia" w:ascii="仿宋_GB2312" w:hAnsi="ˎ̥" w:eastAsia="仿宋_GB2312"/>
          <w:b/>
          <w:color w:val="auto"/>
          <w:sz w:val="32"/>
          <w:szCs w:val="32"/>
        </w:rPr>
        <w:t>.社会保障和就业支出 （类）人力资源和社会保障管理事务 （款）人力资源和社会保障管理事务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6.06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6.06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10</w:t>
      </w:r>
      <w:r>
        <w:rPr>
          <w:rFonts w:hint="eastAsia" w:ascii="仿宋_GB2312" w:hAnsi="ˎ̥" w:eastAsia="仿宋_GB2312"/>
          <w:b/>
          <w:color w:val="auto"/>
          <w:sz w:val="32"/>
          <w:szCs w:val="32"/>
        </w:rPr>
        <w:t>.社会保障和就业支出 （类）行政事业单位养老支出 （款）行政事业单位养老支出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年初预算为237.49 万元，支出决算为237.49 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11</w:t>
      </w:r>
      <w:r>
        <w:rPr>
          <w:rFonts w:hint="eastAsia" w:ascii="仿宋_GB2312" w:hAnsi="ˎ̥" w:eastAsia="仿宋_GB2312"/>
          <w:b/>
          <w:color w:val="auto"/>
          <w:sz w:val="32"/>
          <w:szCs w:val="32"/>
        </w:rPr>
        <w:t>.社会保障和就业支出 （类）就业补助 （款）公益性岗位补贴（项）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年初预算为13.97万元，支出决算为13.97万元，完成年初预算的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12</w:t>
      </w:r>
      <w:r>
        <w:rPr>
          <w:rFonts w:hint="eastAsia" w:ascii="仿宋_GB2312" w:hAnsi="ˎ̥" w:eastAsia="仿宋_GB2312"/>
          <w:b/>
          <w:color w:val="auto"/>
          <w:sz w:val="32"/>
          <w:szCs w:val="32"/>
        </w:rPr>
        <w:t>.社会保障和就业支出 （类）临时救助 （款）临时救助支出（项）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13</w:t>
      </w:r>
      <w:r>
        <w:rPr>
          <w:rFonts w:hint="eastAsia" w:ascii="仿宋_GB2312" w:hAnsi="ˎ̥" w:eastAsia="仿宋_GB2312"/>
          <w:b/>
          <w:color w:val="auto"/>
          <w:sz w:val="32"/>
          <w:szCs w:val="32"/>
        </w:rPr>
        <w:t>.卫生健康支出 （类）卫生健康管理事务 （款）其他卫生健康管理事务支出（项）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年初预算为24.64万元，支出决算为24.64万元，完成年初预算的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14</w:t>
      </w:r>
      <w:r>
        <w:rPr>
          <w:rFonts w:hint="eastAsia" w:ascii="仿宋_GB2312" w:hAnsi="ˎ̥" w:eastAsia="仿宋_GB2312"/>
          <w:b/>
          <w:color w:val="auto"/>
          <w:sz w:val="32"/>
          <w:szCs w:val="32"/>
        </w:rPr>
        <w:t>.卫生健康支出 （类）公立医院 （款）综合医院（项）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年初预算为2.51万元，支出决算为2.51万元，完成年初预算的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15</w:t>
      </w:r>
      <w:r>
        <w:rPr>
          <w:rFonts w:hint="eastAsia" w:ascii="仿宋_GB2312" w:hAnsi="ˎ̥" w:eastAsia="仿宋_GB2312"/>
          <w:b/>
          <w:color w:val="auto"/>
          <w:sz w:val="32"/>
          <w:szCs w:val="32"/>
        </w:rPr>
        <w:t>.卫生健康支出 （类）行政事业单位医疗（款）行政单位医疗（项）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年初预算为125.35万元，支出决算为125.35万元，完成年初预算的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16</w:t>
      </w:r>
      <w:r>
        <w:rPr>
          <w:rFonts w:hint="eastAsia" w:ascii="仿宋_GB2312" w:hAnsi="ˎ̥" w:eastAsia="仿宋_GB2312"/>
          <w:b/>
          <w:color w:val="auto"/>
          <w:sz w:val="32"/>
          <w:szCs w:val="32"/>
        </w:rPr>
        <w:t>.节能环保支出 （类）环境保护管理事务 （款）其他环境保护管理事务支出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年初预算为9.78 万元，支出决算为9.78 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17</w:t>
      </w:r>
      <w:r>
        <w:rPr>
          <w:rFonts w:hint="eastAsia" w:ascii="仿宋_GB2312" w:hAnsi="ˎ̥" w:eastAsia="仿宋_GB2312"/>
          <w:b/>
          <w:color w:val="auto"/>
          <w:sz w:val="32"/>
          <w:szCs w:val="32"/>
        </w:rPr>
        <w:t>.节能环保支出 （类）自然生态保护 （款）农村环境保护（项）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年初预算为9万元，支出决算为</w:t>
      </w:r>
      <w:r>
        <w:rPr>
          <w:rFonts w:hint="eastAsia" w:ascii="仿宋_GB2312" w:hAnsi="ˎ̥" w:eastAsia="仿宋_GB2312"/>
          <w:color w:val="auto"/>
          <w:sz w:val="32"/>
          <w:szCs w:val="32"/>
          <w:lang w:val="en-US" w:eastAsia="zh-CN"/>
        </w:rPr>
        <w:t>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18</w:t>
      </w:r>
      <w:r>
        <w:rPr>
          <w:rFonts w:hint="eastAsia" w:ascii="仿宋_GB2312" w:hAnsi="ˎ̥" w:eastAsia="仿宋_GB2312"/>
          <w:b/>
          <w:color w:val="auto"/>
          <w:sz w:val="32"/>
          <w:szCs w:val="32"/>
        </w:rPr>
        <w:t>.农林水支出（类）农业农村（款）科技转化与推广服务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年初预算为22.44万元，支出决算为22.44万元，完成年初预算的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19</w:t>
      </w:r>
      <w:r>
        <w:rPr>
          <w:rFonts w:hint="eastAsia" w:ascii="仿宋_GB2312" w:hAnsi="ˎ̥" w:eastAsia="仿宋_GB2312"/>
          <w:b/>
          <w:color w:val="auto"/>
          <w:sz w:val="32"/>
          <w:szCs w:val="32"/>
        </w:rPr>
        <w:t>.农林水支出（类）农业农村（款）农业生产发展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9.57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9.57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20</w:t>
      </w:r>
      <w:r>
        <w:rPr>
          <w:rFonts w:hint="eastAsia" w:ascii="仿宋_GB2312" w:hAnsi="ˎ̥" w:eastAsia="仿宋_GB2312"/>
          <w:b/>
          <w:color w:val="auto"/>
          <w:sz w:val="32"/>
          <w:szCs w:val="32"/>
        </w:rPr>
        <w:t>.农林水支出（类）农业农村（款）其他农业农村支出（项）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106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106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21</w:t>
      </w:r>
      <w:r>
        <w:rPr>
          <w:rFonts w:hint="eastAsia" w:ascii="仿宋_GB2312" w:hAnsi="ˎ̥" w:eastAsia="仿宋_GB2312"/>
          <w:b/>
          <w:color w:val="auto"/>
          <w:sz w:val="32"/>
          <w:szCs w:val="32"/>
        </w:rPr>
        <w:t>.农林水支出  （类）巩固脱贫攻坚成果衔接乡村振兴（款）其他巩固脱贫攻坚成果衔接乡村振兴支出（项）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年初预算为19.47万元，支出决算为19.47万元，完成年初预算的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22</w:t>
      </w:r>
      <w:r>
        <w:rPr>
          <w:rFonts w:hint="eastAsia" w:ascii="仿宋_GB2312" w:hAnsi="ˎ̥" w:eastAsia="仿宋_GB2312"/>
          <w:b/>
          <w:color w:val="auto"/>
          <w:sz w:val="32"/>
          <w:szCs w:val="32"/>
        </w:rPr>
        <w:t>.农林水支出 （类）农村综合改革 （款）其他农村综合改革支出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24.32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24.32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23</w:t>
      </w:r>
      <w:r>
        <w:rPr>
          <w:rFonts w:hint="eastAsia" w:ascii="仿宋_GB2312" w:hAnsi="ˎ̥" w:eastAsia="仿宋_GB2312"/>
          <w:b/>
          <w:color w:val="auto"/>
          <w:sz w:val="32"/>
          <w:szCs w:val="32"/>
        </w:rPr>
        <w:t>.住房保障支出  （类）住房改革支出（款）住房公积金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年初预算为194.70万元，支出决算</w:t>
      </w:r>
      <w:r>
        <w:rPr>
          <w:rFonts w:hint="eastAsia" w:ascii="仿宋_GB2312" w:hAnsi="ˎ̥" w:eastAsia="仿宋_GB2312"/>
          <w:color w:val="auto"/>
          <w:sz w:val="32"/>
          <w:szCs w:val="32"/>
          <w:lang w:eastAsia="zh-CN"/>
        </w:rPr>
        <w:t>为</w:t>
      </w:r>
      <w:r>
        <w:rPr>
          <w:rFonts w:hint="eastAsia" w:ascii="仿宋_GB2312" w:hAnsi="ˎ̥" w:eastAsia="仿宋_GB2312"/>
          <w:color w:val="auto"/>
          <w:sz w:val="32"/>
          <w:szCs w:val="32"/>
        </w:rPr>
        <w:t>194.70万元，完成年初预算的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left"/>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val="en-US" w:eastAsia="zh-CN"/>
        </w:rPr>
        <w:t>24</w:t>
      </w:r>
      <w:r>
        <w:rPr>
          <w:rFonts w:hint="eastAsia" w:ascii="仿宋_GB2312" w:hAnsi="ˎ̥" w:eastAsia="仿宋_GB2312"/>
          <w:b/>
          <w:color w:val="auto"/>
          <w:sz w:val="32"/>
          <w:szCs w:val="32"/>
        </w:rPr>
        <w:t>.灾害防治及应急管理支出 （类）应急管理事务 （款）灾害风险防治 （项）</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年初预算为0.73 万元，支出决算</w:t>
      </w:r>
      <w:r>
        <w:rPr>
          <w:rFonts w:hint="eastAsia" w:ascii="仿宋_GB2312" w:hAnsi="ˎ̥" w:eastAsia="仿宋_GB2312"/>
          <w:color w:val="auto"/>
          <w:sz w:val="32"/>
          <w:szCs w:val="32"/>
          <w:lang w:eastAsia="zh-CN"/>
        </w:rPr>
        <w:t>为</w:t>
      </w:r>
      <w:r>
        <w:rPr>
          <w:rFonts w:hint="eastAsia" w:ascii="仿宋_GB2312" w:hAnsi="ˎ̥" w:eastAsia="仿宋_GB2312"/>
          <w:color w:val="auto"/>
          <w:sz w:val="32"/>
          <w:szCs w:val="32"/>
        </w:rPr>
        <w:t>0.73 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3,022.82</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2,863.00</w:t>
      </w:r>
      <w:r>
        <w:rPr>
          <w:rFonts w:hint="eastAsia" w:ascii="仿宋_GB2312" w:hAnsi="ˎ̥" w:eastAsia="仿宋_GB2312"/>
          <w:color w:val="auto"/>
          <w:sz w:val="32"/>
          <w:szCs w:val="32"/>
        </w:rPr>
        <w:t>万元，主要包括：工资福利支出中的基本工资、奖金、伙食补助费、机关事业单位基本养老保险缴费、职工基本医疗保险缴费、其他社会保障缴费、住房公积金、医疗费、其他工资福利支出；对个人和家庭的补助中的生活补助。公用经费</w:t>
      </w:r>
      <w:r>
        <w:rPr>
          <w:rFonts w:ascii="仿宋_GB2312" w:hAnsi="ˎ̥" w:eastAsia="仿宋_GB2312"/>
          <w:color w:val="auto"/>
          <w:sz w:val="32"/>
          <w:szCs w:val="32"/>
          <w:lang w:val="en-US"/>
        </w:rPr>
        <w:t>159.82</w:t>
      </w:r>
      <w:r>
        <w:rPr>
          <w:rFonts w:hint="eastAsia" w:ascii="仿宋_GB2312" w:hAnsi="ˎ̥" w:eastAsia="仿宋_GB2312"/>
          <w:color w:val="auto"/>
          <w:sz w:val="32"/>
          <w:szCs w:val="32"/>
        </w:rPr>
        <w:t>万元，主要包括：商品和服务支出中的办公费、差旅费、公务用车运行维护费、其他商品和服务支出。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未涉及</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年度部门决算报表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未涉及</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15.02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15.02</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“三公”经费支出减少</w:t>
      </w:r>
      <w:r>
        <w:rPr>
          <w:rFonts w:hint="eastAsia" w:ascii="仿宋_GB2312" w:hAnsi="ˎ̥" w:eastAsia="仿宋_GB2312"/>
          <w:color w:val="auto"/>
          <w:sz w:val="32"/>
          <w:szCs w:val="32"/>
          <w:lang w:val="en-US" w:eastAsia="zh-CN"/>
        </w:rPr>
        <w:t>3.76</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20.02</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压减一般性支出及人员减少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15.02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15.02</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辆，主要用于</w:t>
      </w:r>
      <w:r>
        <w:rPr>
          <w:rFonts w:hint="eastAsia" w:ascii="仿宋_GB2312" w:hAnsi="ˎ̥" w:eastAsia="仿宋_GB2312"/>
          <w:color w:val="auto"/>
          <w:sz w:val="32"/>
          <w:szCs w:val="32"/>
          <w:lang w:val="en-US" w:eastAsia="zh-CN"/>
        </w:rPr>
        <w:t>公务工作</w:t>
      </w:r>
      <w:r>
        <w:rPr>
          <w:rFonts w:hint="eastAsia" w:ascii="仿宋_GB2312" w:hAnsi="ˎ̥" w:eastAsia="仿宋_GB2312"/>
          <w:color w:val="auto"/>
          <w:sz w:val="32"/>
          <w:szCs w:val="32"/>
        </w:rPr>
        <w:t>，年末公务用车保有量</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15.02</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镇里公务车辆维护</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default" w:ascii="仿宋_GB2312" w:hAnsi="ˎ̥" w:eastAsia="仿宋_GB2312"/>
          <w:color w:val="auto"/>
          <w:sz w:val="32"/>
          <w:szCs w:val="32"/>
          <w:lang w:val="en-US"/>
        </w:rPr>
        <w:t>15.02</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完成预算的100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3.76</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20.02</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压减一般性支出及人员减少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部门决算报表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根据财政预算绩效管理要求，可按照如下格式说明：根据预算管理要求，我部门（单位）组织对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共涉及资金672.97万元，占一般公共预算项目支出总额的100%</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乡镇人大会议经费</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48</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rPr>
        <w:t>672.97</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w:t>
      </w:r>
      <w:r>
        <w:rPr>
          <w:rFonts w:hint="eastAsia" w:ascii="仿宋_GB2312" w:eastAsia="仿宋_GB2312"/>
          <w:color w:val="auto"/>
          <w:sz w:val="32"/>
          <w:szCs w:val="32"/>
          <w:lang w:eastAsia="zh-CN"/>
        </w:rPr>
        <w:t>我</w:t>
      </w:r>
      <w:r>
        <w:rPr>
          <w:rFonts w:hint="eastAsia" w:ascii="仿宋_GB2312" w:eastAsia="仿宋_GB2312"/>
          <w:color w:val="auto"/>
          <w:sz w:val="32"/>
          <w:szCs w:val="32"/>
          <w:lang w:val="en-US" w:eastAsia="zh-CN"/>
        </w:rPr>
        <w:t>镇48个项目</w:t>
      </w:r>
      <w:r>
        <w:rPr>
          <w:rFonts w:hint="eastAsia" w:ascii="仿宋_GB2312" w:eastAsia="仿宋_GB2312"/>
          <w:color w:val="auto"/>
          <w:sz w:val="32"/>
          <w:szCs w:val="32"/>
        </w:rPr>
        <w:t>预算绩效评价</w:t>
      </w:r>
      <w:r>
        <w:rPr>
          <w:rFonts w:hint="eastAsia" w:ascii="仿宋_GB2312" w:eastAsia="仿宋_GB2312"/>
          <w:color w:val="auto"/>
          <w:sz w:val="32"/>
          <w:szCs w:val="32"/>
          <w:lang w:val="en-US" w:eastAsia="zh-CN"/>
        </w:rPr>
        <w:t>优秀。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参照如下格式说明（表述应与决算内容保持一致）：我部门（单位）在部门决算中反映</w:t>
      </w:r>
      <w:r>
        <w:rPr>
          <w:rFonts w:hint="default" w:ascii="仿宋_GB2312" w:eastAsia="仿宋_GB2312"/>
          <w:color w:val="auto"/>
          <w:sz w:val="32"/>
          <w:szCs w:val="32"/>
          <w:lang w:val="en-US"/>
        </w:rPr>
        <w:t>人大会议经费</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人大工作经费</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48</w:t>
      </w:r>
      <w:r>
        <w:rPr>
          <w:rFonts w:hint="eastAsia" w:ascii="仿宋_GB2312" w:eastAsia="仿宋_GB2312"/>
          <w:color w:val="auto"/>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default" w:ascii="仿宋_GB2312" w:eastAsia="仿宋_GB2312"/>
          <w:color w:val="auto"/>
          <w:sz w:val="32"/>
          <w:szCs w:val="32"/>
          <w:lang w:val="en-US"/>
        </w:rPr>
        <w:t>人大会议经费</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可作为附件附后</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default" w:ascii="仿宋_GB2312" w:eastAsia="仿宋_GB2312"/>
          <w:color w:val="auto"/>
          <w:sz w:val="32"/>
          <w:szCs w:val="32"/>
          <w:lang w:val="en-US"/>
        </w:rPr>
        <w:t>人大会议经费</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分。全年预算数为</w:t>
      </w:r>
      <w:r>
        <w:rPr>
          <w:rFonts w:hint="default" w:ascii="仿宋_GB2312" w:eastAsia="仿宋_GB2312"/>
          <w:color w:val="auto"/>
          <w:sz w:val="32"/>
          <w:szCs w:val="32"/>
          <w:lang w:val="en-US"/>
        </w:rPr>
        <w:t>5.37</w:t>
      </w:r>
      <w:r>
        <w:rPr>
          <w:rFonts w:hint="eastAsia" w:ascii="仿宋_GB2312" w:eastAsia="仿宋_GB2312"/>
          <w:color w:val="auto"/>
          <w:sz w:val="32"/>
          <w:szCs w:val="32"/>
        </w:rPr>
        <w:t>万元，执行数为</w:t>
      </w:r>
      <w:r>
        <w:rPr>
          <w:rFonts w:hint="default" w:ascii="仿宋_GB2312" w:eastAsia="仿宋_GB2312"/>
          <w:color w:val="auto"/>
          <w:sz w:val="32"/>
          <w:szCs w:val="32"/>
          <w:lang w:val="en-US"/>
        </w:rPr>
        <w:t>5.37</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%。项目绩效目标完成情况：一是人大会议</w:t>
      </w:r>
      <w:r>
        <w:rPr>
          <w:rFonts w:hint="eastAsia" w:ascii="仿宋_GB2312" w:eastAsia="仿宋_GB2312"/>
          <w:color w:val="auto"/>
          <w:sz w:val="32"/>
          <w:szCs w:val="32"/>
          <w:lang w:val="en-US" w:eastAsia="zh-CN"/>
        </w:rPr>
        <w:t>次数2次已完成；二是覆盖村（居）数9个已完成</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三是</w:t>
      </w:r>
      <w:r>
        <w:rPr>
          <w:rFonts w:hint="eastAsia" w:ascii="仿宋_GB2312" w:eastAsia="仿宋_GB2312"/>
          <w:color w:val="auto"/>
          <w:sz w:val="32"/>
          <w:szCs w:val="32"/>
        </w:rPr>
        <w:t>资金使用率</w:t>
      </w:r>
      <w:r>
        <w:rPr>
          <w:rFonts w:hint="eastAsia" w:ascii="仿宋_GB2312" w:eastAsia="仿宋_GB2312"/>
          <w:color w:val="auto"/>
          <w:sz w:val="32"/>
          <w:szCs w:val="32"/>
          <w:lang w:val="en-US" w:eastAsia="zh-CN"/>
        </w:rPr>
        <w:t>100%已完成</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四是</w:t>
      </w:r>
      <w:r>
        <w:rPr>
          <w:rFonts w:hint="eastAsia" w:ascii="仿宋_GB2312" w:eastAsia="仿宋_GB2312"/>
          <w:color w:val="auto"/>
          <w:sz w:val="32"/>
          <w:szCs w:val="32"/>
        </w:rPr>
        <w:t>资金兑现截止日2024年12月31日</w:t>
      </w:r>
      <w:r>
        <w:rPr>
          <w:rFonts w:hint="eastAsia" w:ascii="仿宋_GB2312" w:eastAsia="仿宋_GB2312"/>
          <w:color w:val="auto"/>
          <w:sz w:val="32"/>
          <w:szCs w:val="32"/>
          <w:lang w:val="en-US" w:eastAsia="zh-CN"/>
        </w:rPr>
        <w:t>已完成</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五是</w:t>
      </w:r>
      <w:r>
        <w:rPr>
          <w:rFonts w:hint="eastAsia" w:ascii="仿宋_GB2312" w:eastAsia="仿宋_GB2312"/>
          <w:color w:val="auto"/>
          <w:sz w:val="32"/>
          <w:szCs w:val="32"/>
        </w:rPr>
        <w:t>人大会议经费</w:t>
      </w:r>
      <w:r>
        <w:rPr>
          <w:rFonts w:hint="eastAsia" w:ascii="仿宋_GB2312" w:eastAsia="仿宋_GB2312"/>
          <w:color w:val="auto"/>
          <w:sz w:val="32"/>
          <w:szCs w:val="32"/>
          <w:lang w:val="en-US" w:eastAsia="zh-CN"/>
        </w:rPr>
        <w:t>5.37万元已兑现</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六是</w:t>
      </w:r>
      <w:r>
        <w:rPr>
          <w:rFonts w:hint="eastAsia" w:ascii="仿宋_GB2312" w:eastAsia="仿宋_GB2312"/>
          <w:color w:val="auto"/>
          <w:sz w:val="32"/>
          <w:szCs w:val="32"/>
        </w:rPr>
        <w:t>发挥人大代表，解决群众的困难</w:t>
      </w:r>
      <w:r>
        <w:rPr>
          <w:rFonts w:hint="eastAsia" w:ascii="仿宋_GB2312" w:eastAsia="仿宋_GB2312"/>
          <w:color w:val="auto"/>
          <w:sz w:val="32"/>
          <w:szCs w:val="32"/>
          <w:lang w:val="en-US" w:eastAsia="zh-CN"/>
        </w:rPr>
        <w:t>已完成</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七是</w:t>
      </w:r>
      <w:r>
        <w:rPr>
          <w:rFonts w:hint="eastAsia" w:ascii="仿宋_GB2312" w:eastAsia="仿宋_GB2312"/>
          <w:color w:val="auto"/>
          <w:sz w:val="32"/>
          <w:szCs w:val="32"/>
        </w:rPr>
        <w:t>提升人大代表作用</w:t>
      </w:r>
      <w:r>
        <w:rPr>
          <w:rFonts w:hint="eastAsia" w:ascii="仿宋_GB2312" w:eastAsia="仿宋_GB2312"/>
          <w:color w:val="auto"/>
          <w:sz w:val="32"/>
          <w:szCs w:val="32"/>
          <w:lang w:val="en-US" w:eastAsia="zh-CN"/>
        </w:rPr>
        <w:t>已完成</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八是</w:t>
      </w:r>
      <w:r>
        <w:rPr>
          <w:rFonts w:hint="eastAsia" w:ascii="仿宋_GB2312" w:eastAsia="仿宋_GB2312"/>
          <w:color w:val="auto"/>
          <w:sz w:val="32"/>
          <w:szCs w:val="32"/>
        </w:rPr>
        <w:t>提高代表积极性，不断发挥代表履职作用</w:t>
      </w:r>
      <w:r>
        <w:rPr>
          <w:rFonts w:hint="eastAsia" w:ascii="仿宋_GB2312" w:eastAsia="仿宋_GB2312"/>
          <w:color w:val="auto"/>
          <w:sz w:val="32"/>
          <w:szCs w:val="32"/>
          <w:lang w:val="en-US" w:eastAsia="zh-CN"/>
        </w:rPr>
        <w:t>已完成</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九是</w:t>
      </w:r>
      <w:r>
        <w:rPr>
          <w:rFonts w:hint="eastAsia" w:ascii="仿宋_GB2312" w:eastAsia="仿宋_GB2312"/>
          <w:color w:val="auto"/>
          <w:sz w:val="32"/>
          <w:szCs w:val="32"/>
        </w:rPr>
        <w:t>群众满意度</w:t>
      </w:r>
      <w:r>
        <w:rPr>
          <w:rFonts w:hint="eastAsia" w:ascii="仿宋_GB2312" w:eastAsia="仿宋_GB2312"/>
          <w:color w:val="auto"/>
          <w:sz w:val="32"/>
          <w:szCs w:val="32"/>
          <w:lang w:val="en-US" w:eastAsia="zh-CN"/>
        </w:rPr>
        <w:t>符合预期</w:t>
      </w:r>
      <w:r>
        <w:rPr>
          <w:rFonts w:hint="eastAsia" w:ascii="仿宋_GB2312" w:eastAsia="仿宋_GB2312"/>
          <w:color w:val="auto"/>
          <w:sz w:val="32"/>
          <w:szCs w:val="32"/>
        </w:rPr>
        <w:t>。发现的主要问题及原因：</w:t>
      </w:r>
      <w:r>
        <w:rPr>
          <w:rFonts w:hint="eastAsia" w:ascii="仿宋_GB2312" w:eastAsia="仿宋_GB2312"/>
          <w:color w:val="auto"/>
          <w:sz w:val="32"/>
          <w:szCs w:val="32"/>
          <w:lang w:val="en-US" w:eastAsia="zh-CN"/>
        </w:rPr>
        <w:t>无</w:t>
      </w:r>
      <w:r>
        <w:rPr>
          <w:rFonts w:hint="eastAsia" w:ascii="仿宋_GB2312" w:eastAsia="仿宋_GB2312"/>
          <w:color w:val="auto"/>
          <w:sz w:val="32"/>
          <w:szCs w:val="32"/>
        </w:rPr>
        <w:t>。下一步改进措施：</w:t>
      </w:r>
      <w:r>
        <w:rPr>
          <w:rFonts w:hint="eastAsia" w:ascii="仿宋_GB2312" w:eastAsia="仿宋_GB2312"/>
          <w:color w:val="auto"/>
          <w:sz w:val="32"/>
          <w:szCs w:val="32"/>
          <w:lang w:val="en-US" w:eastAsia="zh-CN"/>
        </w:rPr>
        <w:t>加强资金监管力度，提高资金使用效益</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15262_WPSOffice_Level2"/>
      <w:bookmarkStart w:id="98" w:name="_Toc18325_WPSOffice_Level2"/>
      <w:bookmarkStart w:id="99" w:name="_Toc5978_WPSOffice_Level2"/>
      <w:bookmarkStart w:id="100" w:name="_Toc15565_WPSOffice_Level2"/>
      <w:bookmarkStart w:id="101" w:name="_Toc32639_WPSOffice_Level2"/>
      <w:bookmarkStart w:id="102" w:name="_Toc23598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申扎县申扎镇人民政府</w:t>
      </w:r>
      <w:r>
        <w:rPr>
          <w:rFonts w:hint="eastAsia" w:ascii="仿宋_GB2312" w:hAnsi="ˎ̥" w:eastAsia="仿宋_GB2312"/>
          <w:color w:val="auto"/>
          <w:sz w:val="32"/>
          <w:szCs w:val="32"/>
        </w:rPr>
        <w:t>（单位）机关运行经费</w:t>
      </w:r>
      <w:r>
        <w:rPr>
          <w:rFonts w:hint="eastAsia" w:ascii="仿宋_GB2312" w:hAnsi="ˎ̥" w:eastAsia="仿宋_GB2312"/>
          <w:color w:val="auto"/>
          <w:sz w:val="32"/>
          <w:szCs w:val="32"/>
          <w:lang w:val="en-US" w:eastAsia="zh-CN"/>
        </w:rPr>
        <w:t>159.82</w:t>
      </w:r>
      <w:r>
        <w:rPr>
          <w:rFonts w:hint="eastAsia" w:ascii="仿宋_GB2312" w:hAnsi="ˎ̥" w:eastAsia="仿宋_GB2312"/>
          <w:color w:val="auto"/>
          <w:sz w:val="32"/>
          <w:szCs w:val="32"/>
        </w:rPr>
        <w:t>万元（为部门决算中行政单位和参公事业单位财政拨款基本支出中公用经费支出之和，事业单位没有机关运行经费支出），比年初预算减少</w:t>
      </w:r>
      <w:r>
        <w:rPr>
          <w:rFonts w:hint="eastAsia" w:ascii="仿宋_GB2312" w:hAnsi="ˎ̥" w:eastAsia="仿宋_GB2312"/>
          <w:color w:val="auto"/>
          <w:sz w:val="32"/>
          <w:szCs w:val="32"/>
          <w:lang w:val="en-US" w:eastAsia="zh-CN"/>
        </w:rPr>
        <w:t>25.55</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完成预算的86.22</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w:t>
      </w:r>
      <w:r>
        <w:rPr>
          <w:rFonts w:hint="eastAsia" w:ascii="仿宋_GB2312" w:hAnsi="ˎ̥" w:eastAsia="仿宋_GB2312"/>
          <w:color w:val="auto"/>
          <w:sz w:val="32"/>
          <w:szCs w:val="32"/>
          <w:lang w:val="en-US" w:eastAsia="zh-CN"/>
        </w:rPr>
        <w:t>65.95</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增长70.26%。</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增加单位食堂运行经费；增加用氧补助经费</w:t>
      </w:r>
      <w:r>
        <w:rPr>
          <w:rFonts w:hint="eastAsia" w:ascii="仿宋_GB2312" w:hAnsi="ˎ̥" w:eastAsia="仿宋_GB2312"/>
          <w:color w:val="auto"/>
          <w:sz w:val="32"/>
          <w:szCs w:val="32"/>
          <w:lang w:bidi="ar"/>
        </w:rPr>
        <w:t>等</w:t>
      </w:r>
      <w:r>
        <w:rPr>
          <w:rFonts w:hint="eastAsia" w:ascii="仿宋_GB2312" w:hAnsi="ˎ̥" w:eastAsia="仿宋_GB2312"/>
          <w:color w:val="auto"/>
          <w:sz w:val="32"/>
          <w:szCs w:val="32"/>
        </w:rPr>
        <w:t>（具体增减原因由</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3" w:name="_Toc32689_WPSOffice_Level2"/>
      <w:bookmarkStart w:id="104" w:name="_Toc23966_WPSOffice_Level2"/>
      <w:bookmarkStart w:id="105" w:name="_Toc25333_WPSOffice_Level2"/>
      <w:bookmarkStart w:id="106" w:name="_Toc13084_WPSOffice_Level2"/>
      <w:bookmarkStart w:id="107" w:name="_Toc3131_WPSOffice_Level2"/>
      <w:bookmarkStart w:id="108" w:name="_Toc30383_WPSOffice_Level2"/>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申扎县申扎镇人民政府</w:t>
      </w:r>
      <w:r>
        <w:rPr>
          <w:rFonts w:hint="eastAsia" w:ascii="仿宋_GB2312" w:hAnsi="ˎ̥" w:eastAsia="仿宋_GB2312"/>
          <w:color w:val="auto"/>
          <w:sz w:val="32"/>
          <w:szCs w:val="32"/>
        </w:rPr>
        <w:t>（单位）政府采购支出总额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29584_WPSOffice_Level2"/>
      <w:bookmarkStart w:id="110" w:name="_Toc10902_WPSOffice_Level2"/>
      <w:bookmarkStart w:id="111" w:name="_Toc15129_WPSOffice_Level2"/>
      <w:bookmarkStart w:id="112" w:name="_Toc6016_WPSOffice_Level2"/>
      <w:bookmarkStart w:id="113" w:name="_Toc527_WPSOffice_Level2"/>
      <w:bookmarkStart w:id="114" w:name="_Toc19989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default" w:ascii="仿宋_GB2312" w:hAnsi="ˎ̥" w:eastAsia="仿宋_GB2312"/>
          <w:color w:val="auto"/>
          <w:sz w:val="32"/>
          <w:szCs w:val="32"/>
          <w:lang w:val="en-US"/>
        </w:rPr>
        <w:t>6304</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val="en-US" w:eastAsia="zh-CN"/>
        </w:rPr>
        <w:t>作为公务用车下村开展各项工作</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5" w:name="_Toc8874_WPSOffice_Level1"/>
      <w:bookmarkStart w:id="116" w:name="_Toc8808_WPSOffice_Level1"/>
      <w:bookmarkStart w:id="117" w:name="_Toc17580_WPSOffice_Level1"/>
      <w:bookmarkStart w:id="118" w:name="_Toc4398_WPSOffice_Level1"/>
      <w:bookmarkStart w:id="119" w:name="_Toc11039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bookmarkEnd w:id="121"/>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D133594"/>
    <w:multiLevelType w:val="singleLevel"/>
    <w:tmpl w:val="DD133594"/>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5MGE4M2MzYmE4NzQ2YmEyOTJiYWMyZmE4YjIwZWE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06C261C"/>
    <w:rsid w:val="56CA7FD0"/>
    <w:rsid w:val="57FA38D1"/>
    <w:rsid w:val="5F7D3333"/>
    <w:rsid w:val="61385890"/>
    <w:rsid w:val="687436E1"/>
    <w:rsid w:val="6CB378EB"/>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7907</Words>
  <Characters>8971</Characters>
  <Lines>67</Lines>
  <Paragraphs>18</Paragraphs>
  <TotalTime>15</TotalTime>
  <ScaleCrop>false</ScaleCrop>
  <LinksUpToDate>false</LinksUpToDate>
  <CharactersWithSpaces>9084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2026-01-20T19:56:45Z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