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申扎县纪检委机关2024年度部门决算公开报告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32433_WPSOffice_Level1"/>
      <w:bookmarkStart w:id="3" w:name="_Toc23465_WPSOffice_Level1"/>
      <w:bookmarkStart w:id="4" w:name="_Toc22941_WPSOffice_Level1"/>
      <w:bookmarkStart w:id="5" w:name="_Toc1704_WPSOffice_Level1"/>
      <w:bookmarkStart w:id="6" w:name="_Toc10720_WPSOffice_Level1"/>
      <w:bookmarkStart w:id="7" w:name="_Toc10049_WPSOffice_Level1"/>
      <w:bookmarkStart w:id="8" w:name="_Toc24238_WPSOffice_Level2"/>
      <w:bookmarkStart w:id="9" w:name="_Toc14159_WPSOffice_Level2"/>
      <w:bookmarkStart w:id="10" w:name="_Toc20205_WPSOffice_Level2"/>
      <w:bookmarkStart w:id="11" w:name="_Toc26580_WPSOffice_Level2"/>
      <w:bookmarkStart w:id="12" w:name="_Toc32622_WPSOffice_Level2"/>
      <w:bookmarkStart w:id="13" w:name="_Toc20274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88" w:lineRule="exact"/>
        <w:rPr>
          <w:rFonts w:hint="eastAsia" w:ascii="黑体" w:hAnsi="黑体" w:eastAsia="黑体" w:cs="黑体"/>
          <w:sz w:val="32"/>
          <w:szCs w:val="32"/>
        </w:rPr>
      </w:pPr>
      <w:r>
        <w:rPr>
          <w:rFonts w:hint="eastAsia" w:ascii="仿宋" w:hAnsi="仿宋" w:eastAsia="仿宋"/>
          <w:sz w:val="32"/>
          <w:szCs w:val="32"/>
        </w:rPr>
        <w:t xml:space="preserve">    申扎县纪委监委（巡察办）是申扎县党委部门直属机构，主要职责：</w:t>
      </w:r>
      <w:r>
        <w:rPr>
          <w:rFonts w:hint="eastAsia" w:ascii="仿宋" w:hAnsi="仿宋" w:eastAsia="仿宋"/>
          <w:b/>
          <w:bCs/>
          <w:sz w:val="32"/>
          <w:szCs w:val="32"/>
        </w:rPr>
        <w:t>一是</w:t>
      </w:r>
      <w:r>
        <w:rPr>
          <w:rFonts w:hint="eastAsia" w:ascii="仿宋" w:hAnsi="仿宋" w:eastAsia="仿宋"/>
          <w:sz w:val="32"/>
          <w:szCs w:val="32"/>
        </w:rPr>
        <w:t>负责全县党的纪律检查工作。贯彻落实党中央、自治区党委和市委关于纪律检查工作的决定，自治区纪委、市纪委和县委关于纪律检查工作的决策部署，维护党的章程和其他党内法规，检查党的路线方针政策和决议执行情况，协助县委推进全面从严治党、加强党风建设和组织协调反腐败工作。</w:t>
      </w:r>
      <w:r>
        <w:rPr>
          <w:rFonts w:hint="eastAsia" w:ascii="仿宋" w:hAnsi="仿宋" w:eastAsia="仿宋"/>
          <w:b/>
          <w:bCs/>
          <w:sz w:val="32"/>
          <w:szCs w:val="32"/>
        </w:rPr>
        <w:t>二是</w:t>
      </w:r>
      <w:r>
        <w:rPr>
          <w:rFonts w:hint="eastAsia" w:ascii="仿宋" w:hAnsi="仿宋" w:eastAsia="仿宋"/>
          <w:sz w:val="32"/>
          <w:szCs w:val="32"/>
        </w:rPr>
        <w:t>依照党章和其他党内法规履行监督、执纪、问责职责。负责对党员进行遵守纪律的教育，作出维护党纪的决定，对党组织和县管党员领导干部履行职责、行驶权利进行监督，受理处置党员群众检举举报，开展谈话提醒、约谈函询。检查和处理上述党组织和党员违反党章和其他党内法规比较重要或复杂的案件，决定或取消这些案件中党员的处分，受理控告和申诉，保障党员权利。</w:t>
      </w:r>
      <w:r>
        <w:rPr>
          <w:rFonts w:hint="eastAsia" w:ascii="仿宋" w:hAnsi="仿宋" w:eastAsia="仿宋"/>
          <w:b/>
          <w:bCs/>
          <w:sz w:val="32"/>
          <w:szCs w:val="32"/>
        </w:rPr>
        <w:t>三是</w:t>
      </w:r>
      <w:r>
        <w:rPr>
          <w:rFonts w:hint="eastAsia" w:ascii="仿宋" w:hAnsi="仿宋" w:eastAsia="仿宋"/>
          <w:sz w:val="32"/>
          <w:szCs w:val="32"/>
        </w:rPr>
        <w:t>在县委的统一领导下，统筹协调全县巡察工作。</w:t>
      </w:r>
      <w:r>
        <w:rPr>
          <w:rFonts w:hint="eastAsia" w:ascii="仿宋" w:hAnsi="仿宋" w:eastAsia="仿宋"/>
          <w:b/>
          <w:bCs/>
          <w:sz w:val="32"/>
          <w:szCs w:val="32"/>
        </w:rPr>
        <w:t>四是</w:t>
      </w:r>
      <w:r>
        <w:rPr>
          <w:rFonts w:hint="eastAsia" w:ascii="仿宋" w:hAnsi="仿宋" w:eastAsia="仿宋"/>
          <w:sz w:val="32"/>
          <w:szCs w:val="32"/>
        </w:rPr>
        <w:t>负责全县监察工作。贯彻党中央关于监察工作的决定，国家监委、自治区党委、自治区监委、市委、市监委和县委关于监察工作的决策部署，维护宪法法律，依法对县管行驶公权力的公职人员进行监察，调查职务违法和职务犯罪，开展廉政建设和反腐败工作。</w:t>
      </w:r>
      <w:r>
        <w:rPr>
          <w:rFonts w:hint="eastAsia" w:ascii="仿宋" w:hAnsi="仿宋" w:eastAsia="仿宋"/>
          <w:b/>
          <w:bCs/>
          <w:sz w:val="32"/>
          <w:szCs w:val="32"/>
        </w:rPr>
        <w:t>五是</w:t>
      </w:r>
      <w:r>
        <w:rPr>
          <w:rFonts w:hint="eastAsia" w:ascii="仿宋" w:hAnsi="仿宋" w:eastAsia="仿宋"/>
          <w:sz w:val="32"/>
          <w:szCs w:val="32"/>
        </w:rPr>
        <w:t>依照党章和党内其他法规履行监督、调查、处置职责。推动开展廉政教育，对县管行驶公权力的公职人员依法履职、秉公用权、廉洁从政从业以及道德操守情况进行监督检查。对职务违法和职务犯罪进行调查。对违法的公职人员作出政务处分决定。对履行职责不力，失职失责的人员进行问责。对涉嫌职务犯罪的，将调查结果移送人民检察院依法审查、提起公诉。向监察对象所在的单位提出监察建议。</w:t>
      </w:r>
      <w:r>
        <w:rPr>
          <w:rFonts w:hint="eastAsia" w:ascii="仿宋" w:hAnsi="仿宋" w:eastAsia="仿宋"/>
          <w:b/>
          <w:bCs/>
          <w:sz w:val="32"/>
          <w:szCs w:val="32"/>
        </w:rPr>
        <w:t>六是</w:t>
      </w:r>
      <w:r>
        <w:rPr>
          <w:rFonts w:hint="eastAsia" w:ascii="仿宋" w:hAnsi="仿宋" w:eastAsia="仿宋"/>
          <w:sz w:val="32"/>
          <w:szCs w:val="32"/>
        </w:rPr>
        <w:t>负责组织协调全面从严治党、党风廉政建设和反腐败宣传教育工作。</w:t>
      </w:r>
      <w:r>
        <w:rPr>
          <w:rFonts w:hint="eastAsia" w:ascii="仿宋" w:hAnsi="仿宋" w:eastAsia="仿宋"/>
          <w:b/>
          <w:bCs/>
          <w:sz w:val="32"/>
          <w:szCs w:val="32"/>
        </w:rPr>
        <w:t>七是</w:t>
      </w:r>
      <w:r>
        <w:rPr>
          <w:rFonts w:hint="eastAsia" w:ascii="仿宋" w:hAnsi="仿宋" w:eastAsia="仿宋"/>
          <w:sz w:val="32"/>
          <w:szCs w:val="32"/>
        </w:rPr>
        <w:t>负责综合分析全面从严治党、党风廉政建设和反腐败工作情况。对纪检监察工作重要理论及实践问题进行调差研究。制定或者修改纪检监察制度规定，参与起草制定相关法规和规范性文件。</w:t>
      </w:r>
      <w:r>
        <w:rPr>
          <w:rFonts w:hint="eastAsia" w:ascii="仿宋" w:hAnsi="仿宋" w:eastAsia="仿宋"/>
          <w:b/>
          <w:bCs/>
          <w:sz w:val="32"/>
          <w:szCs w:val="32"/>
        </w:rPr>
        <w:t>八是</w:t>
      </w:r>
      <w:r>
        <w:rPr>
          <w:rFonts w:hint="eastAsia" w:ascii="仿宋" w:hAnsi="仿宋" w:eastAsia="仿宋"/>
          <w:sz w:val="32"/>
          <w:szCs w:val="32"/>
        </w:rPr>
        <w:t>加强对反腐败追逃追赃和防逃工作的组织协调，督促有关单位做好相关工作。</w:t>
      </w:r>
      <w:r>
        <w:rPr>
          <w:rFonts w:hint="eastAsia" w:ascii="仿宋" w:hAnsi="仿宋" w:eastAsia="仿宋"/>
          <w:b/>
          <w:bCs/>
          <w:sz w:val="32"/>
          <w:szCs w:val="32"/>
        </w:rPr>
        <w:t>九是</w:t>
      </w:r>
      <w:r>
        <w:rPr>
          <w:rFonts w:hint="eastAsia" w:ascii="仿宋" w:hAnsi="仿宋" w:eastAsia="仿宋"/>
          <w:sz w:val="32"/>
          <w:szCs w:val="32"/>
        </w:rPr>
        <w:t>根据干部管理权限，负责纪检监察系统、巡察机构领导班子建设，干部队伍建设和组织建设综合规划，政策研究、制度建设和业务指导。会同有关方面做好乡级纪检监察领导班子建设有关工作，组织和指导纪检、巡察干部教育培训工作。</w:t>
      </w:r>
      <w:r>
        <w:rPr>
          <w:rFonts w:hint="eastAsia" w:ascii="仿宋" w:hAnsi="仿宋" w:eastAsia="仿宋"/>
          <w:b/>
          <w:bCs/>
          <w:sz w:val="32"/>
          <w:szCs w:val="32"/>
        </w:rPr>
        <w:t>十是</w:t>
      </w:r>
      <w:r>
        <w:rPr>
          <w:rFonts w:hint="eastAsia" w:ascii="仿宋" w:hAnsi="仿宋" w:eastAsia="仿宋"/>
          <w:sz w:val="32"/>
          <w:szCs w:val="32"/>
        </w:rPr>
        <w:t>完成是纪委监委和县委交办的其他任务。</w:t>
      </w:r>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059_WPSOffice_Level2"/>
      <w:bookmarkStart w:id="16" w:name="_Toc6572_WPSOffice_Level2"/>
      <w:bookmarkStart w:id="17" w:name="_Toc17796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lang w:eastAsia="zh-CN"/>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纪委（监委、巡察办）</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年度部门决算编制范围的</w:t>
      </w:r>
      <w:r>
        <w:rPr>
          <w:rFonts w:hint="eastAsia" w:ascii="仿宋_GB2312" w:hAnsi="ˎ̥" w:eastAsia="仿宋_GB2312"/>
          <w:sz w:val="32"/>
          <w:szCs w:val="32"/>
        </w:rPr>
        <w:t>单位共</w:t>
      </w:r>
      <w:r>
        <w:rPr>
          <w:rFonts w:hint="eastAsia" w:ascii="仿宋_GB2312" w:hAnsi="ˎ̥" w:eastAsia="仿宋_GB2312"/>
          <w:color w:val="auto"/>
          <w:sz w:val="32"/>
          <w:szCs w:val="32"/>
          <w:lang w:val="en-US" w:eastAsia="zh-CN"/>
        </w:rPr>
        <w:t>1</w:t>
      </w:r>
      <w:r>
        <w:rPr>
          <w:rFonts w:hint="eastAsia" w:ascii="仿宋_GB2312" w:hAnsi="ˎ̥" w:eastAsia="仿宋_GB2312"/>
          <w:sz w:val="32"/>
          <w:szCs w:val="32"/>
        </w:rPr>
        <w:t>个</w:t>
      </w:r>
      <w:r>
        <w:rPr>
          <w:rFonts w:hint="eastAsia" w:ascii="仿宋_GB2312" w:hAnsi="ˎ̥" w:eastAsia="仿宋_GB2312"/>
          <w:sz w:val="32"/>
          <w:szCs w:val="32"/>
          <w:lang w:eastAsia="zh-CN"/>
        </w:rPr>
        <w:t>。</w:t>
      </w:r>
    </w:p>
    <w:p>
      <w:pPr>
        <w:spacing w:line="578" w:lineRule="exact"/>
        <w:ind w:firstLine="640" w:firstLineChars="200"/>
        <w:rPr>
          <w:rFonts w:hint="eastAsia" w:ascii="仿宋_GB2312" w:hAnsi="ˎ̥" w:eastAsia="仿宋_GB2312"/>
          <w:sz w:val="32"/>
          <w:szCs w:val="32"/>
          <w:lang w:eastAsia="zh-CN"/>
        </w:rPr>
      </w:pPr>
    </w:p>
    <w:p>
      <w:pPr>
        <w:spacing w:line="578" w:lineRule="exact"/>
        <w:ind w:firstLine="640" w:firstLineChars="200"/>
        <w:jc w:val="both"/>
        <w:rPr>
          <w:rFonts w:hint="eastAsia" w:ascii="黑体" w:hAnsi="黑体" w:eastAsia="黑体" w:cs="黑体"/>
          <w:sz w:val="32"/>
          <w:szCs w:val="32"/>
        </w:rPr>
      </w:pPr>
      <w:bookmarkStart w:id="19" w:name="_Toc28253_WPSOffice_Level1"/>
      <w:bookmarkStart w:id="20" w:name="_Toc8164_WPSOffice_Level1"/>
      <w:bookmarkStart w:id="21" w:name="_Toc6234_WPSOffice_Level1"/>
      <w:bookmarkStart w:id="22" w:name="_Toc30451_WPSOffice_Level1"/>
      <w:bookmarkStart w:id="23" w:name="_Toc30690_WPSOffice_Level1"/>
      <w:bookmarkStart w:id="24" w:name="_Toc15521_WPSOffice_Level1"/>
      <w:bookmarkStart w:id="25" w:name="_Toc32472_WPSOffice_Level2"/>
      <w:bookmarkStart w:id="26" w:name="_Toc32695_WPSOffice_Level2"/>
      <w:bookmarkStart w:id="27" w:name="_Toc8867_WPSOffice_Level2"/>
      <w:bookmarkStart w:id="28" w:name="_Toc4029_WPSOffice_Level2"/>
      <w:bookmarkStart w:id="29" w:name="_Toc11518_WPSOffice_Level2"/>
      <w:bookmarkStart w:id="30" w:name="_Toc6211_WPSOffice_Level2"/>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5608_WPSOffice_Level2"/>
      <w:bookmarkStart w:id="32" w:name="_Toc14349_WPSOffice_Level2"/>
      <w:bookmarkStart w:id="33" w:name="_Toc28622_WPSOffice_Level2"/>
      <w:bookmarkStart w:id="34" w:name="_Toc30334_WPSOffice_Level2"/>
      <w:bookmarkStart w:id="35" w:name="_Toc26621_WPSOffice_Level2"/>
      <w:bookmarkStart w:id="36" w:name="_Toc2313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17858_WPSOffice_Level2"/>
      <w:bookmarkStart w:id="39" w:name="_Toc17626_WPSOffice_Level2"/>
      <w:bookmarkStart w:id="40" w:name="_Toc5489_WPSOffice_Level2"/>
      <w:bookmarkStart w:id="41" w:name="_Toc14658_WPSOffice_Level2"/>
      <w:bookmarkStart w:id="42"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591_WPSOffice_Level2"/>
      <w:bookmarkStart w:id="44" w:name="_Toc21415_WPSOffice_Level2"/>
      <w:bookmarkStart w:id="45" w:name="_Toc7988_WPSOffice_Level2"/>
      <w:bookmarkStart w:id="46" w:name="_Toc23493_WPSOffice_Level2"/>
      <w:bookmarkStart w:id="47" w:name="_Toc13701_WPSOffice_Level2"/>
      <w:bookmarkStart w:id="48"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5166_WPSOffice_Level2"/>
      <w:bookmarkStart w:id="50" w:name="_Toc7879_WPSOffice_Level2"/>
      <w:bookmarkStart w:id="51" w:name="_Toc23829_WPSOffice_Level2"/>
      <w:bookmarkStart w:id="52" w:name="_Toc22783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8373_WPSOffice_Level2"/>
      <w:bookmarkStart w:id="56" w:name="_Toc2632_WPSOffice_Level2"/>
      <w:bookmarkStart w:id="57" w:name="_Toc5343_WPSOffice_Level2"/>
      <w:bookmarkStart w:id="58" w:name="_Toc17833_WPSOffice_Level2"/>
      <w:bookmarkStart w:id="59" w:name="_Toc25362_WPSOffice_Level2"/>
      <w:bookmarkStart w:id="60"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21310_WPSOffice_Level2"/>
      <w:bookmarkStart w:id="62" w:name="_Toc13345_WPSOffice_Level2"/>
      <w:bookmarkStart w:id="63" w:name="_Toc1533_WPSOffice_Level2"/>
      <w:bookmarkStart w:id="64" w:name="_Toc6020_WPSOffice_Level2"/>
      <w:bookmarkStart w:id="65" w:name="_Toc11799_WPSOffice_Level2"/>
      <w:bookmarkStart w:id="66" w:name="_Toc5594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29886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黑体" w:hAnsi="黑体" w:eastAsia="黑体" w:cs="黑体"/>
          <w:sz w:val="32"/>
          <w:szCs w:val="32"/>
        </w:rPr>
      </w:pPr>
      <w:r>
        <w:rPr>
          <w:rFonts w:hint="eastAsia" w:ascii="仿宋" w:hAnsi="仿宋" w:eastAsia="仿宋" w:cs="仿宋"/>
          <w:w w:val="100"/>
          <w:sz w:val="32"/>
          <w:szCs w:val="32"/>
        </w:rPr>
        <w:t xml:space="preserve">以上报表见附件1。   </w:t>
      </w:r>
    </w:p>
    <w:p>
      <w:pPr>
        <w:spacing w:line="578" w:lineRule="exact"/>
        <w:jc w:val="center"/>
        <w:rPr>
          <w:rFonts w:hint="eastAsia" w:ascii="黑体" w:hAnsi="ˎ̥" w:eastAsia="黑体"/>
          <w:sz w:val="32"/>
          <w:szCs w:val="32"/>
        </w:rPr>
      </w:pPr>
      <w:bookmarkStart w:id="71" w:name="_Toc16686_WPSOffice_Level1"/>
      <w:bookmarkStart w:id="72" w:name="_Toc29683_WPSOffice_Level1"/>
      <w:bookmarkStart w:id="73" w:name="_Toc31264_WPSOffice_Level1"/>
      <w:bookmarkStart w:id="74" w:name="_Toc28629_WPSOffice_Level1"/>
      <w:bookmarkStart w:id="75" w:name="_Toc4402_WPSOffice_Level1"/>
      <w:bookmarkStart w:id="76" w:name="_Toc27590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212.19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27.4</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2024年度因机构改革人员增多资金统筹使用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27.4</w:t>
      </w:r>
      <w:r>
        <w:rPr>
          <w:rFonts w:hint="eastAsia" w:ascii="仿宋_GB2312" w:hAnsi="ˎ̥" w:eastAsia="仿宋_GB2312"/>
          <w:color w:val="auto"/>
          <w:sz w:val="32"/>
          <w:szCs w:val="32"/>
        </w:rPr>
        <w:t>%；上级补助收入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734.97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74.5</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251.38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25.4</w:t>
      </w:r>
      <w:r>
        <w:rPr>
          <w:rFonts w:hint="eastAsia" w:ascii="仿宋_GB2312" w:hAnsi="ˎ̥" w:eastAsia="仿宋_GB2312"/>
          <w:color w:val="auto"/>
          <w:sz w:val="32"/>
          <w:szCs w:val="32"/>
        </w:rPr>
        <w:t>%；上缴上级支出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212.19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27.4</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2024年度因机构改革人员增多资金统筹使用</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212.19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27.4</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2024年度因机构改革人员增多资金统筹使用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9665_WPSOffice_Level2"/>
      <w:bookmarkStart w:id="78" w:name="_Toc17398_WPSOffice_Level2"/>
      <w:bookmarkStart w:id="79" w:name="_Toc13694_WPSOffice_Level2"/>
      <w:bookmarkStart w:id="80" w:name="_Toc23005_WPSOffice_Level2"/>
      <w:bookmarkStart w:id="81" w:name="_Toc9989_WPSOffice_Level2"/>
      <w:bookmarkStart w:id="82" w:name="_Toc21737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212.19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27.4</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2024年度因机构改革人员增多资金统筹使用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19535_WPSOffice_Level2"/>
      <w:bookmarkStart w:id="84" w:name="_Toc27767_WPSOffice_Level2"/>
      <w:bookmarkStart w:id="85" w:name="_Toc19075_WPSOffice_Level2"/>
      <w:bookmarkStart w:id="86" w:name="_Toc18793_WPSOffice_Level2"/>
      <w:bookmarkStart w:id="87" w:name="_Toc2711_WPSOffice_Level2"/>
      <w:bookmarkStart w:id="88" w:name="_Toc23864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820.99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83.2</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68.35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6.9</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54.96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5.5</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15415_WPSOffice_Level2"/>
      <w:bookmarkStart w:id="90" w:name="_Toc29364_WPSOffice_Level2"/>
      <w:bookmarkStart w:id="91" w:name="_Toc22318_WPSOffice_Level2"/>
      <w:bookmarkStart w:id="92" w:name="_Toc9502_WPSOffice_Level2"/>
      <w:bookmarkStart w:id="93" w:name="_Toc25136_WPSOffice_Level2"/>
      <w:bookmarkStart w:id="94" w:name="_Toc21701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986.35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986.35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734.97</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683.64</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51.33</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4.53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4.53</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“三公”经费支出减少</w:t>
      </w:r>
      <w:r>
        <w:rPr>
          <w:rFonts w:hint="eastAsia" w:ascii="仿宋_GB2312" w:hAnsi="ˎ̥" w:eastAsia="仿宋_GB2312"/>
          <w:color w:val="auto"/>
          <w:sz w:val="32"/>
          <w:szCs w:val="32"/>
          <w:lang w:val="en-US" w:eastAsia="zh-CN"/>
        </w:rPr>
        <w:t>4.07</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40.7</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无公车</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4.53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4.53</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辆，主要用于</w:t>
      </w:r>
      <w:r>
        <w:rPr>
          <w:rFonts w:hint="eastAsia" w:ascii="仿宋_GB2312" w:hAnsi="ˎ̥" w:eastAsia="仿宋_GB2312"/>
          <w:color w:val="auto"/>
          <w:sz w:val="32"/>
          <w:szCs w:val="32"/>
          <w:lang w:val="en-US" w:eastAsia="zh-CN"/>
        </w:rPr>
        <w:t>报销公车油料费用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4.53</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报销公车油料费用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比预算数减少</w:t>
      </w:r>
      <w:r>
        <w:rPr>
          <w:rFonts w:hint="eastAsia" w:ascii="仿宋_GB2312" w:hAnsi="ˎ̥" w:eastAsia="仿宋_GB2312"/>
          <w:sz w:val="32"/>
          <w:szCs w:val="32"/>
          <w:lang w:val="en-US" w:eastAsia="zh-CN"/>
        </w:rPr>
        <w:t>4.07</w:t>
      </w:r>
      <w:r>
        <w:rPr>
          <w:rFonts w:hint="eastAsia" w:ascii="仿宋_GB2312" w:hAnsi="ˎ̥" w:eastAsia="仿宋_GB2312"/>
          <w:sz w:val="32"/>
          <w:szCs w:val="32"/>
        </w:rPr>
        <w:t>万元，</w:t>
      </w:r>
      <w:r>
        <w:rPr>
          <w:rFonts w:hint="eastAsia" w:ascii="仿宋_GB2312" w:hAnsi="ˎ̥" w:eastAsia="仿宋_GB2312"/>
          <w:sz w:val="32"/>
          <w:szCs w:val="32"/>
          <w:lang w:val="en-US" w:eastAsia="zh-CN"/>
        </w:rPr>
        <w:t>同比减少47.32</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val="en-US" w:eastAsia="zh-CN"/>
        </w:rPr>
      </w:pPr>
      <w:r>
        <w:rPr>
          <w:rFonts w:hint="eastAsia" w:ascii="仿宋_GB2312" w:hAnsi="ˎ̥" w:eastAsia="仿宋_GB2312"/>
          <w:b/>
          <w:sz w:val="32"/>
          <w:szCs w:val="32"/>
        </w:rPr>
        <w:t xml:space="preserve">  </w:t>
      </w: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default" w:ascii="仿宋_GB2312" w:hAnsi="ˎ̥" w:eastAsia="仿宋_GB2312"/>
          <w:color w:val="auto"/>
          <w:sz w:val="32"/>
          <w:szCs w:val="32"/>
          <w:lang w:val="en-US"/>
        </w:rPr>
        <w:t>251.38</w:t>
      </w:r>
      <w:r>
        <w:rPr>
          <w:rFonts w:hint="eastAsia" w:ascii="仿宋_GB2312" w:eastAsia="仿宋_GB2312"/>
          <w:sz w:val="32"/>
          <w:szCs w:val="32"/>
          <w:lang w:val="en-US" w:eastAsia="zh-CN"/>
        </w:rPr>
        <w:t>万元，占一般公共预算项目支出总额的25.48%</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sz w:val="32"/>
          <w:szCs w:val="32"/>
          <w:lang w:eastAsia="zh-CN" w:bidi="ar"/>
        </w:rPr>
        <w:t>，</w:t>
      </w:r>
      <w:r>
        <w:rPr>
          <w:rFonts w:hint="eastAsia" w:ascii="仿宋_GB2312" w:eastAsia="仿宋_GB2312"/>
          <w:sz w:val="32"/>
          <w:szCs w:val="32"/>
          <w:lang w:bidi="ar"/>
        </w:rPr>
        <w:t>政府性基金预算项目开展绩效自评，共涉及资金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w:t>
      </w:r>
      <w:r>
        <w:rPr>
          <w:rFonts w:hint="default" w:ascii="仿宋_GB2312" w:eastAsia="仿宋_GB2312"/>
          <w:sz w:val="32"/>
          <w:szCs w:val="32"/>
          <w:lang w:val="en-US" w:bidi="ar"/>
        </w:rPr>
        <w:t>2024</w:t>
      </w:r>
      <w:r>
        <w:rPr>
          <w:rFonts w:hint="eastAsia" w:ascii="仿宋_GB2312" w:eastAsia="仿宋_GB2312"/>
          <w:sz w:val="32"/>
          <w:szCs w:val="32"/>
          <w:lang w:bidi="ar"/>
        </w:rPr>
        <w:t xml:space="preserve">年度国有资本经营预算项目开展绩效自评，共涉及资金 </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共组织对“办案经费</w:t>
      </w:r>
      <w:r>
        <w:rPr>
          <w:rFonts w:hint="eastAsia" w:ascii="仿宋_GB2312" w:eastAsia="仿宋_GB2312"/>
          <w:sz w:val="32"/>
          <w:szCs w:val="32"/>
          <w:lang w:eastAsia="zh-CN"/>
        </w:rPr>
        <w:t>、</w:t>
      </w:r>
      <w:r>
        <w:rPr>
          <w:rFonts w:hint="eastAsia" w:ascii="仿宋_GB2312" w:eastAsia="仿宋_GB2312"/>
          <w:sz w:val="32"/>
          <w:szCs w:val="32"/>
        </w:rPr>
        <w:t>巡察专项经费</w:t>
      </w:r>
      <w:r>
        <w:rPr>
          <w:rFonts w:hint="eastAsia" w:ascii="仿宋_GB2312" w:eastAsia="仿宋_GB2312"/>
          <w:sz w:val="32"/>
          <w:szCs w:val="32"/>
          <w:lang w:eastAsia="zh-CN"/>
        </w:rPr>
        <w:t>、</w:t>
      </w:r>
      <w:r>
        <w:rPr>
          <w:rFonts w:hint="eastAsia" w:ascii="仿宋_GB2312" w:eastAsia="仿宋_GB2312"/>
          <w:sz w:val="32"/>
          <w:szCs w:val="32"/>
        </w:rPr>
        <w:t>作风建设和专项整治经费”等</w:t>
      </w:r>
      <w:r>
        <w:rPr>
          <w:rFonts w:hint="eastAsia" w:ascii="仿宋_GB2312" w:eastAsia="仿宋_GB2312"/>
          <w:sz w:val="32"/>
          <w:szCs w:val="32"/>
          <w:lang w:val="en-US" w:eastAsia="zh-CN"/>
        </w:rPr>
        <w:t>8</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default" w:ascii="仿宋_GB2312" w:eastAsia="仿宋_GB2312"/>
          <w:sz w:val="32"/>
          <w:szCs w:val="32"/>
          <w:lang w:val="en-US" w:bidi="ar"/>
        </w:rPr>
        <w:t>251.38</w:t>
      </w:r>
      <w:r>
        <w:rPr>
          <w:rFonts w:hint="eastAsia" w:ascii="仿宋_GB2312" w:eastAsia="仿宋_GB2312"/>
          <w:sz w:val="32"/>
          <w:szCs w:val="32"/>
          <w:lang w:bidi="ar"/>
        </w:rPr>
        <w:t>万元，政府性基金预算支出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参照如下格式说明（表述应与决算内容保持一致）：我部门（单位）在部门决算中反映作风建设和专项整治经费等</w:t>
      </w:r>
      <w:r>
        <w:rPr>
          <w:rFonts w:hint="eastAsia" w:ascii="仿宋_GB2312" w:eastAsia="仿宋_GB2312"/>
          <w:color w:val="FF0000"/>
          <w:sz w:val="32"/>
          <w:szCs w:val="32"/>
          <w:lang w:val="en-US" w:eastAsia="zh-CN"/>
        </w:rPr>
        <w:t>2</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办案经费级作风建设</w:t>
      </w:r>
      <w:r>
        <w:rPr>
          <w:rFonts w:hint="eastAsia" w:ascii="仿宋_GB2312" w:eastAsia="仿宋_GB2312"/>
          <w:sz w:val="32"/>
          <w:szCs w:val="32"/>
        </w:rPr>
        <w:t>项目绩效自评报告：根据年初设定的绩效目标，项目绩效自评得分为</w:t>
      </w:r>
      <w:r>
        <w:rPr>
          <w:rFonts w:hint="eastAsia" w:ascii="仿宋_GB2312" w:eastAsia="仿宋_GB2312"/>
          <w:sz w:val="32"/>
          <w:szCs w:val="32"/>
          <w:lang w:val="en-US" w:eastAsia="zh-CN"/>
        </w:rPr>
        <w:t>99.8</w:t>
      </w:r>
      <w:r>
        <w:rPr>
          <w:rFonts w:hint="eastAsia" w:ascii="仿宋_GB2312" w:eastAsia="仿宋_GB2312"/>
          <w:sz w:val="32"/>
          <w:szCs w:val="32"/>
        </w:rPr>
        <w:t>分。全年预算数为</w:t>
      </w:r>
      <w:r>
        <w:rPr>
          <w:rFonts w:hint="eastAsia" w:ascii="仿宋_GB2312" w:eastAsia="仿宋_GB2312"/>
          <w:sz w:val="32"/>
          <w:szCs w:val="32"/>
          <w:lang w:val="en-US" w:eastAsia="zh-CN"/>
        </w:rPr>
        <w:t>90</w:t>
      </w:r>
      <w:r>
        <w:rPr>
          <w:rFonts w:hint="eastAsia" w:ascii="仿宋_GB2312" w:eastAsia="仿宋_GB2312"/>
          <w:sz w:val="32"/>
          <w:szCs w:val="32"/>
        </w:rPr>
        <w:t>万元，执行数为</w:t>
      </w:r>
      <w:r>
        <w:rPr>
          <w:rFonts w:hint="eastAsia" w:ascii="仿宋_GB2312" w:eastAsia="仿宋_GB2312"/>
          <w:sz w:val="32"/>
          <w:szCs w:val="32"/>
          <w:lang w:val="en-US" w:eastAsia="zh-CN"/>
        </w:rPr>
        <w:t>90</w:t>
      </w:r>
      <w:r>
        <w:rPr>
          <w:rFonts w:hint="eastAsia" w:ascii="仿宋_GB2312" w:eastAsia="仿宋_GB2312"/>
          <w:sz w:val="32"/>
          <w:szCs w:val="32"/>
        </w:rPr>
        <w:t>万元，完成预算的</w:t>
      </w:r>
      <w:r>
        <w:rPr>
          <w:rFonts w:hint="eastAsia" w:ascii="仿宋_GB2312" w:eastAsia="仿宋_GB2312"/>
          <w:sz w:val="32"/>
          <w:szCs w:val="32"/>
          <w:lang w:val="en-US" w:eastAsia="zh-CN"/>
        </w:rPr>
        <w:t>100</w:t>
      </w:r>
      <w:r>
        <w:rPr>
          <w:rFonts w:hint="eastAsia" w:ascii="仿宋_GB2312" w:eastAsia="仿宋_GB2312"/>
          <w:sz w:val="32"/>
          <w:szCs w:val="32"/>
        </w:rPr>
        <w:t>%。项目绩效目标完成情况：</w:t>
      </w:r>
      <w:r>
        <w:rPr>
          <w:rFonts w:hint="eastAsia" w:ascii="仿宋_GB2312" w:eastAsia="仿宋_GB2312"/>
          <w:sz w:val="32"/>
          <w:szCs w:val="32"/>
          <w:lang w:val="en-US" w:eastAsia="zh-CN"/>
        </w:rPr>
        <w:t>主要用于纪检监察机关办案工作，主要包括购买办案工作点的办公用品，办案人员差旅费等支出，以及按照有关规定办案工作其他支出。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5978_WPSOffice_Level2"/>
      <w:bookmarkStart w:id="96" w:name="_Toc23598_WPSOffice_Level2"/>
      <w:bookmarkStart w:id="97" w:name="_Toc15262_WPSOffice_Level2"/>
      <w:bookmarkStart w:id="98" w:name="_Toc18325_WPSOffice_Level2"/>
      <w:bookmarkStart w:id="99" w:name="_Toc15565_WPSOffice_Level2"/>
      <w:bookmarkStart w:id="100" w:name="_Toc32639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纪委</w:t>
      </w:r>
      <w:r>
        <w:rPr>
          <w:rFonts w:hint="eastAsia" w:ascii="仿宋_GB2312" w:hAnsi="ˎ̥" w:eastAsia="仿宋_GB2312"/>
          <w:sz w:val="32"/>
          <w:szCs w:val="32"/>
        </w:rPr>
        <w:t>部门机关运行经费</w:t>
      </w:r>
      <w:r>
        <w:rPr>
          <w:rFonts w:hint="eastAsia" w:ascii="仿宋_GB2312" w:hAnsi="ˎ̥" w:eastAsia="仿宋_GB2312"/>
          <w:sz w:val="32"/>
          <w:szCs w:val="32"/>
          <w:lang w:val="en-US" w:eastAsia="zh-CN"/>
        </w:rPr>
        <w:t>51.33</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5333_WPSOffice_Level2"/>
      <w:bookmarkStart w:id="102" w:name="_Toc30383_WPSOffice_Level2"/>
      <w:bookmarkStart w:id="103" w:name="_Toc32689_WPSOffice_Level2"/>
      <w:bookmarkStart w:id="104" w:name="_Toc3131_WPSOffice_Level2"/>
      <w:bookmarkStart w:id="105" w:name="_Toc23966_WPSOffice_Level2"/>
      <w:bookmarkStart w:id="106" w:name="_Toc13084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年度政府采购支出总额</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6016_WPSOffice_Level2"/>
      <w:bookmarkStart w:id="108" w:name="_Toc19989_WPSOffice_Level2"/>
      <w:bookmarkStart w:id="109" w:name="_Toc10902_WPSOffice_Level2"/>
      <w:bookmarkStart w:id="110" w:name="_Toc15129_WPSOffice_Level2"/>
      <w:bookmarkStart w:id="111" w:name="_Toc29584_WPSOffice_Level2"/>
      <w:bookmarkStart w:id="112" w:name="_Toc527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74_WPSOffice_Level1"/>
      <w:bookmarkStart w:id="114" w:name="_Toc17580_WPSOffice_Level1"/>
      <w:bookmarkStart w:id="115" w:name="_Toc4398_WPSOffice_Level1"/>
      <w:bookmarkStart w:id="116" w:name="_Toc15425_WPSOffice_Level1"/>
      <w:bookmarkStart w:id="117" w:name="_Toc11039_WPSOffice_Level1"/>
      <w:bookmarkStart w:id="118"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bookmarkStart w:id="119" w:name="_GoBack"/>
      <w:bookmarkEnd w:id="119"/>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4129FA2D"/>
    <w:multiLevelType w:val="singleLevel"/>
    <w:tmpl w:val="4129FA2D"/>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jNjgwMDQwMDFjNmZkZGQ2OGI1YTE2MTBjNjZmNm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521CB1"/>
    <w:rsid w:val="02D972F5"/>
    <w:rsid w:val="04DA26C6"/>
    <w:rsid w:val="08796F59"/>
    <w:rsid w:val="09201287"/>
    <w:rsid w:val="0FC80124"/>
    <w:rsid w:val="1109680C"/>
    <w:rsid w:val="1140361C"/>
    <w:rsid w:val="12B25FD9"/>
    <w:rsid w:val="136F98C7"/>
    <w:rsid w:val="15FC6940"/>
    <w:rsid w:val="17427E68"/>
    <w:rsid w:val="1755065F"/>
    <w:rsid w:val="17EE22B8"/>
    <w:rsid w:val="19BE3F0C"/>
    <w:rsid w:val="19D87115"/>
    <w:rsid w:val="1A2521DD"/>
    <w:rsid w:val="1AFC29C9"/>
    <w:rsid w:val="1BB07FAF"/>
    <w:rsid w:val="1C345485"/>
    <w:rsid w:val="1CA52F2E"/>
    <w:rsid w:val="1DFE370B"/>
    <w:rsid w:val="1E3630B9"/>
    <w:rsid w:val="21DC5893"/>
    <w:rsid w:val="24B44889"/>
    <w:rsid w:val="259376B9"/>
    <w:rsid w:val="2622151A"/>
    <w:rsid w:val="26EEC2B5"/>
    <w:rsid w:val="275642A6"/>
    <w:rsid w:val="29472309"/>
    <w:rsid w:val="2B073965"/>
    <w:rsid w:val="2B406E77"/>
    <w:rsid w:val="2C2A0C43"/>
    <w:rsid w:val="2C66290D"/>
    <w:rsid w:val="2D1E73A5"/>
    <w:rsid w:val="2D6A1F89"/>
    <w:rsid w:val="319A0963"/>
    <w:rsid w:val="32717154"/>
    <w:rsid w:val="345F0C0E"/>
    <w:rsid w:val="34B63260"/>
    <w:rsid w:val="3541287E"/>
    <w:rsid w:val="37FDA7E2"/>
    <w:rsid w:val="3A314D88"/>
    <w:rsid w:val="3A5D1208"/>
    <w:rsid w:val="3A746883"/>
    <w:rsid w:val="3CA15DE9"/>
    <w:rsid w:val="3E162CA6"/>
    <w:rsid w:val="3FE61EE5"/>
    <w:rsid w:val="400C2E1C"/>
    <w:rsid w:val="406508EE"/>
    <w:rsid w:val="407D55A7"/>
    <w:rsid w:val="408D6263"/>
    <w:rsid w:val="41B40CEE"/>
    <w:rsid w:val="448160DE"/>
    <w:rsid w:val="476151B7"/>
    <w:rsid w:val="48317291"/>
    <w:rsid w:val="485F7024"/>
    <w:rsid w:val="48E70666"/>
    <w:rsid w:val="49A07007"/>
    <w:rsid w:val="49FD645C"/>
    <w:rsid w:val="4BB5250A"/>
    <w:rsid w:val="4C6877E5"/>
    <w:rsid w:val="4D6A468D"/>
    <w:rsid w:val="4E0846F1"/>
    <w:rsid w:val="4E38179A"/>
    <w:rsid w:val="4EA86137"/>
    <w:rsid w:val="56CA7FD0"/>
    <w:rsid w:val="57FA38D1"/>
    <w:rsid w:val="58E00C7D"/>
    <w:rsid w:val="59D40607"/>
    <w:rsid w:val="5D852344"/>
    <w:rsid w:val="5E3D49CC"/>
    <w:rsid w:val="5E746CF5"/>
    <w:rsid w:val="5F1F2324"/>
    <w:rsid w:val="5F28509B"/>
    <w:rsid w:val="5F7D3333"/>
    <w:rsid w:val="61385890"/>
    <w:rsid w:val="641922AE"/>
    <w:rsid w:val="6619382B"/>
    <w:rsid w:val="687436E1"/>
    <w:rsid w:val="69764517"/>
    <w:rsid w:val="6DA45C50"/>
    <w:rsid w:val="6E9A7825"/>
    <w:rsid w:val="6F670F9B"/>
    <w:rsid w:val="737450E0"/>
    <w:rsid w:val="73997B89"/>
    <w:rsid w:val="74054476"/>
    <w:rsid w:val="742F38C4"/>
    <w:rsid w:val="74AB66DC"/>
    <w:rsid w:val="74C4154C"/>
    <w:rsid w:val="75956FFF"/>
    <w:rsid w:val="775E24FA"/>
    <w:rsid w:val="77A13DC6"/>
    <w:rsid w:val="77AA2D01"/>
    <w:rsid w:val="7C8C65C5"/>
    <w:rsid w:val="7C943EFA"/>
    <w:rsid w:val="7CDE1DBD"/>
    <w:rsid w:val="7D2A660C"/>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6355</Words>
  <Characters>6798</Characters>
  <Lines>67</Lines>
  <Paragraphs>18</Paragraphs>
  <TotalTime>32</TotalTime>
  <ScaleCrop>false</ScaleCrop>
  <LinksUpToDate>false</LinksUpToDate>
  <CharactersWithSpaces>6869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2026-01-30T11:08:28Z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