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hint="eastAsia" w:asciiTheme="majorEastAsia" w:hAnsiTheme="majorEastAsia" w:eastAsiaTheme="majorEastAsia" w:cstheme="majorEastAsia"/>
          <w:b/>
          <w:bCs/>
          <w:color w:val="auto"/>
          <w:sz w:val="44"/>
          <w:szCs w:val="44"/>
        </w:rPr>
      </w:pPr>
      <w:r>
        <w:rPr>
          <w:rFonts w:hint="eastAsia" w:asciiTheme="majorEastAsia" w:hAnsiTheme="majorEastAsia" w:eastAsiaTheme="majorEastAsia" w:cstheme="majorEastAsia"/>
          <w:b/>
          <w:bCs/>
          <w:color w:val="auto"/>
          <w:sz w:val="44"/>
          <w:szCs w:val="44"/>
        </w:rPr>
        <w:t>西藏那曲申扎县藏医院2024年度部门决算公开报告</w:t>
      </w:r>
    </w:p>
    <w:p>
      <w:pPr>
        <w:spacing w:line="578" w:lineRule="exact"/>
        <w:jc w:val="center"/>
        <w:rPr>
          <w:rFonts w:hint="eastAsia" w:ascii="黑体" w:hAnsi="ˎ̥" w:eastAsia="黑体"/>
          <w:b/>
          <w:color w:val="auto"/>
          <w:sz w:val="32"/>
          <w:szCs w:val="32"/>
        </w:rPr>
      </w:pPr>
    </w:p>
    <w:p>
      <w:pPr>
        <w:spacing w:line="578" w:lineRule="exact"/>
        <w:jc w:val="center"/>
        <w:rPr>
          <w:rFonts w:hint="eastAsia" w:ascii="黑体" w:hAnsi="黑体" w:eastAsia="黑体" w:cs="黑体"/>
          <w:color w:val="auto"/>
          <w:sz w:val="44"/>
          <w:szCs w:val="44"/>
        </w:rPr>
      </w:pPr>
      <w:bookmarkStart w:id="0" w:name="_Toc11440_WPSOffice_Type2"/>
      <w:r>
        <w:rPr>
          <w:rFonts w:hint="eastAsia" w:ascii="黑体" w:hAnsi="黑体" w:eastAsia="黑体" w:cs="黑体"/>
          <w:color w:val="auto"/>
          <w:sz w:val="44"/>
          <w:szCs w:val="44"/>
        </w:rPr>
        <w:t>目  录</w:t>
      </w:r>
    </w:p>
    <w:p>
      <w:pPr>
        <w:pStyle w:val="15"/>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_Toc1704_WPSOffice_Level1 </w:instrText>
      </w:r>
      <w:r>
        <w:rPr>
          <w:color w:val="auto"/>
          <w:sz w:val="32"/>
          <w:szCs w:val="32"/>
        </w:rPr>
        <w:fldChar w:fldCharType="separate"/>
      </w:r>
      <w:r>
        <w:rPr>
          <w:rFonts w:hint="eastAsia" w:ascii="黑体" w:hAnsi="ˎ̥" w:eastAsia="黑体"/>
          <w:color w:val="auto"/>
          <w:sz w:val="32"/>
          <w:szCs w:val="32"/>
        </w:rPr>
        <w:t>第一部分 基本情况</w:t>
      </w:r>
      <w:r>
        <w:rPr>
          <w:color w:val="auto"/>
          <w:sz w:val="32"/>
          <w:szCs w:val="32"/>
        </w:rPr>
        <w:tab/>
      </w:r>
      <w:r>
        <w:rPr>
          <w:color w:val="auto"/>
          <w:sz w:val="32"/>
          <w:szCs w:val="32"/>
        </w:rPr>
        <w:fldChar w:fldCharType="end"/>
      </w:r>
      <w:r>
        <w:rPr>
          <w:rFonts w:hint="eastAsia"/>
          <w:color w:val="auto"/>
          <w:sz w:val="32"/>
          <w:szCs w:val="32"/>
        </w:rPr>
        <w:t>2</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_Toc20274_WPSOffice_Level2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一、部门（单位）职责</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2</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_Toc4833_WPSOffice_Level2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二、机构设置</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2</w:t>
      </w:r>
    </w:p>
    <w:p>
      <w:pPr>
        <w:pStyle w:val="15"/>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_Toc28253_WPSOffice_Level1 </w:instrText>
      </w:r>
      <w:r>
        <w:rPr>
          <w:color w:val="auto"/>
          <w:sz w:val="32"/>
          <w:szCs w:val="32"/>
        </w:rPr>
        <w:fldChar w:fldCharType="separate"/>
      </w:r>
      <w:r>
        <w:rPr>
          <w:rFonts w:hint="eastAsia" w:ascii="黑体" w:hAnsi="ˎ̥" w:eastAsia="黑体"/>
          <w:color w:val="auto"/>
          <w:sz w:val="32"/>
          <w:szCs w:val="32"/>
        </w:rPr>
        <w:t xml:space="preserve">第二部分  </w:t>
      </w:r>
      <w:r>
        <w:rPr>
          <w:rFonts w:hint="default" w:ascii="黑体" w:hAnsi="ˎ̥" w:eastAsia="黑体"/>
          <w:color w:val="auto"/>
          <w:sz w:val="32"/>
          <w:szCs w:val="32"/>
          <w:lang w:val="en-US"/>
        </w:rPr>
        <w:t>2024</w:t>
      </w:r>
      <w:r>
        <w:rPr>
          <w:rFonts w:hint="eastAsia" w:ascii="黑体" w:hAnsi="ˎ̥" w:eastAsia="黑体"/>
          <w:color w:val="auto"/>
          <w:sz w:val="32"/>
          <w:szCs w:val="32"/>
        </w:rPr>
        <w:t>年度部门决算公开表</w:t>
      </w:r>
      <w:r>
        <w:rPr>
          <w:color w:val="auto"/>
          <w:sz w:val="32"/>
          <w:szCs w:val="32"/>
        </w:rPr>
        <w:tab/>
      </w:r>
      <w:r>
        <w:rPr>
          <w:color w:val="auto"/>
          <w:sz w:val="32"/>
          <w:szCs w:val="32"/>
        </w:rPr>
        <w:fldChar w:fldCharType="end"/>
      </w:r>
      <w:r>
        <w:rPr>
          <w:rFonts w:hint="eastAsia"/>
          <w:color w:val="auto"/>
          <w:sz w:val="32"/>
          <w:szCs w:val="32"/>
        </w:rPr>
        <w:t>2</w:t>
      </w:r>
    </w:p>
    <w:p>
      <w:pPr>
        <w:pStyle w:val="15"/>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_Toc27590_WPSOffice_Level1 </w:instrText>
      </w:r>
      <w:r>
        <w:rPr>
          <w:color w:val="auto"/>
          <w:sz w:val="32"/>
          <w:szCs w:val="32"/>
        </w:rPr>
        <w:fldChar w:fldCharType="separate"/>
      </w:r>
      <w:r>
        <w:rPr>
          <w:rFonts w:hint="eastAsia" w:ascii="黑体" w:hAnsi="黑体" w:eastAsia="黑体" w:cs="黑体"/>
          <w:color w:val="auto"/>
          <w:sz w:val="32"/>
          <w:szCs w:val="32"/>
        </w:rPr>
        <w:t>第三部分</w:t>
      </w:r>
      <w:r>
        <w:rPr>
          <w:rFonts w:hint="eastAsia"/>
          <w:color w:val="auto"/>
          <w:sz w:val="32"/>
          <w:szCs w:val="32"/>
        </w:rPr>
        <w:t xml:space="preserve">  </w:t>
      </w:r>
      <w:r>
        <w:rPr>
          <w:rFonts w:hint="default" w:ascii="黑体" w:hAnsi="ˎ̥" w:eastAsia="黑体"/>
          <w:color w:val="auto"/>
          <w:sz w:val="32"/>
          <w:szCs w:val="32"/>
          <w:lang w:val="en-US"/>
        </w:rPr>
        <w:t>2024</w:t>
      </w:r>
      <w:r>
        <w:rPr>
          <w:rFonts w:hint="eastAsia" w:ascii="黑体" w:hAnsi="ˎ̥" w:eastAsia="黑体"/>
          <w:color w:val="auto"/>
          <w:sz w:val="32"/>
          <w:szCs w:val="32"/>
        </w:rPr>
        <w:t>年度部门决算情况说明</w:t>
      </w:r>
      <w:r>
        <w:rPr>
          <w:color w:val="auto"/>
          <w:sz w:val="32"/>
          <w:szCs w:val="32"/>
        </w:rPr>
        <w:tab/>
      </w:r>
      <w:r>
        <w:rPr>
          <w:color w:val="auto"/>
          <w:sz w:val="32"/>
          <w:szCs w:val="32"/>
        </w:rPr>
        <w:fldChar w:fldCharType="end"/>
      </w:r>
      <w:r>
        <w:rPr>
          <w:rFonts w:hint="eastAsia"/>
          <w:color w:val="auto"/>
          <w:sz w:val="32"/>
          <w:szCs w:val="32"/>
        </w:rPr>
        <w:t>3</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_Toc21737_WPSOffice_Level2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一、收入支出总体情况说明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3</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二、收入决算情况说明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三、支出决算情况说明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四、财政拨款收入支出决算</w:t>
      </w:r>
      <w:r>
        <w:rPr>
          <w:rFonts w:hint="eastAsia" w:ascii="仿宋" w:hAnsi="仿宋" w:eastAsia="仿宋" w:cs="仿宋"/>
          <w:bCs/>
          <w:color w:val="auto"/>
          <w:sz w:val="32"/>
          <w:szCs w:val="32"/>
          <w:lang w:val="en-US" w:eastAsia="zh-CN"/>
        </w:rPr>
        <w:t>总体</w:t>
      </w:r>
      <w:r>
        <w:rPr>
          <w:rFonts w:hint="eastAsia" w:ascii="仿宋" w:hAnsi="仿宋" w:eastAsia="仿宋" w:cs="仿宋"/>
          <w:bCs/>
          <w:color w:val="auto"/>
          <w:sz w:val="32"/>
          <w:szCs w:val="32"/>
        </w:rPr>
        <w:t>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五、一般公共预算财政拨款支出决算情况说明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5</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六、一般公共预算财政拨款基本支出决算情况说明</w:t>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ab/>
      </w:r>
      <w:r>
        <w:rPr>
          <w:rFonts w:hint="eastAsia" w:ascii="仿宋" w:hAnsi="仿宋" w:eastAsia="仿宋" w:cs="仿宋"/>
          <w:color w:val="auto"/>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政府性基金预算财政拨款支出决算情况说明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国有资本经营预算财政拨款支出决算情况说明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t>8</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九、财政拨款“三公”经费支出决算情况说明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9</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十、预算绩效情况说明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11</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十一、其他重要事项情况说明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t>13</w:t>
      </w:r>
    </w:p>
    <w:p>
      <w:pPr>
        <w:pStyle w:val="15"/>
        <w:tabs>
          <w:tab w:val="right" w:leader="dot" w:pos="8306"/>
        </w:tabs>
        <w:spacing w:line="578" w:lineRule="exact"/>
        <w:rPr>
          <w:rFonts w:hint="eastAsia" w:ascii="黑体" w:hAnsi="ˎ̥"/>
          <w:b/>
          <w:color w:val="auto"/>
          <w:sz w:val="32"/>
          <w:szCs w:val="32"/>
        </w:rPr>
      </w:pPr>
      <w:r>
        <w:rPr>
          <w:color w:val="auto"/>
          <w:sz w:val="32"/>
          <w:szCs w:val="32"/>
        </w:rPr>
        <w:fldChar w:fldCharType="begin"/>
      </w:r>
      <w:r>
        <w:rPr>
          <w:color w:val="auto"/>
          <w:sz w:val="32"/>
          <w:szCs w:val="32"/>
        </w:rPr>
        <w:instrText xml:space="preserve"> HYPERLINK \l _Toc15425_WPSOffice_Level1 </w:instrText>
      </w:r>
      <w:r>
        <w:rPr>
          <w:color w:val="auto"/>
          <w:sz w:val="32"/>
          <w:szCs w:val="32"/>
        </w:rPr>
        <w:fldChar w:fldCharType="separate"/>
      </w:r>
      <w:r>
        <w:rPr>
          <w:rFonts w:hint="eastAsia" w:ascii="黑体" w:hAnsi="ˎ̥" w:eastAsia="黑体"/>
          <w:color w:val="auto"/>
          <w:sz w:val="32"/>
          <w:szCs w:val="32"/>
        </w:rPr>
        <w:t>第四部分  名词解释</w:t>
      </w:r>
      <w:r>
        <w:rPr>
          <w:color w:val="auto"/>
          <w:sz w:val="32"/>
          <w:szCs w:val="32"/>
        </w:rPr>
        <w:tab/>
      </w:r>
      <w:bookmarkStart w:id="1" w:name="_Toc15425_WPSOffice_Level1Page"/>
      <w:r>
        <w:rPr>
          <w:color w:val="auto"/>
          <w:sz w:val="32"/>
          <w:szCs w:val="32"/>
        </w:rPr>
        <w:t>1</w:t>
      </w:r>
      <w:bookmarkEnd w:id="1"/>
      <w:r>
        <w:rPr>
          <w:color w:val="auto"/>
          <w:sz w:val="32"/>
          <w:szCs w:val="32"/>
        </w:rPr>
        <w:fldChar w:fldCharType="end"/>
      </w:r>
      <w:bookmarkEnd w:id="0"/>
      <w:r>
        <w:rPr>
          <w:rFonts w:hint="eastAsia"/>
          <w:color w:val="auto"/>
          <w:sz w:val="32"/>
          <w:szCs w:val="32"/>
        </w:rPr>
        <w:t>5</w:t>
      </w:r>
    </w:p>
    <w:p>
      <w:pPr>
        <w:spacing w:line="578" w:lineRule="exact"/>
        <w:jc w:val="both"/>
        <w:rPr>
          <w:rFonts w:hint="eastAsia" w:ascii="黑体" w:hAnsi="ˎ̥" w:eastAsia="黑体"/>
          <w:color w:val="auto"/>
          <w:sz w:val="32"/>
          <w:szCs w:val="32"/>
        </w:rPr>
      </w:pPr>
      <w:bookmarkStart w:id="2" w:name="_Toc32433_WPSOffice_Level1"/>
      <w:bookmarkStart w:id="3" w:name="_Toc22941_WPSOffice_Level1"/>
      <w:bookmarkStart w:id="4" w:name="_Toc23465_WPSOffice_Level1"/>
      <w:bookmarkStart w:id="5" w:name="_Toc10720_WPSOffice_Level1"/>
      <w:bookmarkStart w:id="6" w:name="_Toc10049_WPSOffice_Level1"/>
      <w:bookmarkStart w:id="7" w:name="_Toc1704_WPSOffice_Level1"/>
      <w:bookmarkStart w:id="8" w:name="_Toc24238_WPSOffice_Level2"/>
      <w:bookmarkStart w:id="9" w:name="_Toc14159_WPSOffice_Level2"/>
      <w:bookmarkStart w:id="10" w:name="_Toc32622_WPSOffice_Level2"/>
      <w:bookmarkStart w:id="11" w:name="_Toc26580_WPSOffice_Level2"/>
      <w:bookmarkStart w:id="12" w:name="_Toc20274_WPSOffice_Level2"/>
      <w:bookmarkStart w:id="13" w:name="_Toc20205_WPSOffice_Level2"/>
    </w:p>
    <w:p>
      <w:pPr>
        <w:spacing w:line="578" w:lineRule="exact"/>
        <w:jc w:val="center"/>
        <w:rPr>
          <w:rFonts w:hint="eastAsia" w:ascii="黑体" w:hAnsi="ˎ̥" w:eastAsia="黑体"/>
          <w:color w:val="auto"/>
          <w:sz w:val="32"/>
          <w:szCs w:val="32"/>
        </w:rPr>
      </w:pPr>
      <w:r>
        <w:rPr>
          <w:rFonts w:hint="eastAsia" w:ascii="黑体" w:hAnsi="ˎ̥" w:eastAsia="黑体"/>
          <w:color w:val="auto"/>
          <w:sz w:val="32"/>
          <w:szCs w:val="32"/>
        </w:rPr>
        <w:t xml:space="preserve">第一部分  </w:t>
      </w:r>
      <w:bookmarkEnd w:id="2"/>
      <w:bookmarkEnd w:id="3"/>
      <w:bookmarkEnd w:id="4"/>
      <w:bookmarkEnd w:id="5"/>
      <w:bookmarkEnd w:id="6"/>
      <w:bookmarkEnd w:id="7"/>
      <w:r>
        <w:rPr>
          <w:rFonts w:hint="eastAsia" w:ascii="黑体" w:hAnsi="ˎ̥" w:eastAsia="黑体"/>
          <w:color w:val="auto"/>
          <w:sz w:val="32"/>
          <w:szCs w:val="32"/>
        </w:rPr>
        <w:t>基本情况</w:t>
      </w:r>
    </w:p>
    <w:p>
      <w:pPr>
        <w:spacing w:line="578" w:lineRule="exact"/>
        <w:ind w:firstLine="640" w:firstLineChars="200"/>
        <w:rPr>
          <w:rFonts w:hint="eastAsia" w:ascii="楷体" w:hAnsi="楷体" w:eastAsia="楷体" w:cs="楷体"/>
          <w:color w:val="auto"/>
          <w:sz w:val="32"/>
          <w:szCs w:val="32"/>
        </w:rPr>
      </w:pPr>
    </w:p>
    <w:p>
      <w:pPr>
        <w:spacing w:line="578" w:lineRule="exact"/>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一、部门</w:t>
      </w:r>
      <w:bookmarkEnd w:id="8"/>
      <w:r>
        <w:rPr>
          <w:rFonts w:hint="eastAsia" w:ascii="黑体" w:hAnsi="黑体" w:eastAsia="黑体" w:cs="黑体"/>
          <w:color w:val="auto"/>
          <w:sz w:val="32"/>
          <w:szCs w:val="32"/>
        </w:rPr>
        <w:t>（单位）职责</w:t>
      </w:r>
      <w:bookmarkEnd w:id="9"/>
      <w:bookmarkEnd w:id="10"/>
      <w:bookmarkEnd w:id="11"/>
      <w:bookmarkEnd w:id="12"/>
      <w:bookmarkEnd w:id="13"/>
    </w:p>
    <w:p>
      <w:pPr>
        <w:spacing w:line="578" w:lineRule="exact"/>
        <w:ind w:firstLine="640" w:firstLineChars="200"/>
        <w:rPr>
          <w:rFonts w:hint="eastAsia" w:ascii="仿宋_GB2312" w:hAnsi="ˎ̥" w:eastAsia="仿宋_GB2312"/>
          <w:color w:val="auto"/>
          <w:sz w:val="32"/>
          <w:szCs w:val="32"/>
        </w:rPr>
      </w:pPr>
      <w:bookmarkStart w:id="14" w:name="_Toc24474_WPSOffice_Level2"/>
      <w:bookmarkStart w:id="15" w:name="_Toc4833_WPSOffice_Level2"/>
      <w:bookmarkStart w:id="16" w:name="_Toc6572_WPSOffice_Level2"/>
      <w:bookmarkStart w:id="17" w:name="_Toc24059_WPSOffice_Level2"/>
      <w:bookmarkStart w:id="18" w:name="_Toc17796_WPSOffice_Level2"/>
      <w:r>
        <w:rPr>
          <w:rFonts w:hint="eastAsia" w:ascii="仿宋_GB2312" w:hAnsi="ˎ̥" w:eastAsia="仿宋_GB2312"/>
          <w:color w:val="auto"/>
          <w:sz w:val="32"/>
          <w:szCs w:val="32"/>
        </w:rPr>
        <w:t>1</w:t>
      </w:r>
      <w:r>
        <w:rPr>
          <w:rFonts w:hint="eastAsia" w:ascii="仿宋_GB2312" w:hAnsi="ˎ̥" w:eastAsia="仿宋_GB2312"/>
          <w:color w:val="auto"/>
          <w:sz w:val="32"/>
          <w:szCs w:val="32"/>
          <w:lang w:val="en-US" w:eastAsia="zh-CN"/>
        </w:rPr>
        <w:t>.</w:t>
      </w:r>
      <w:r>
        <w:rPr>
          <w:rFonts w:hint="eastAsia" w:ascii="仿宋_GB2312" w:hAnsi="ˎ̥" w:eastAsia="仿宋_GB2312"/>
          <w:color w:val="auto"/>
          <w:sz w:val="32"/>
          <w:szCs w:val="32"/>
        </w:rPr>
        <w:t>贯彻落实卫生、法律和部门规章制度，坚持以科学发展观为指导，以“病人为中心”，以提高医疗服务质量为主题，服务意识，改善服务态度，转变服务作风，注重诚信服务，增进医患沟通，构建和谐医患关系，把维护群众利益，保证医疗质量和医疗安全，优化职业环境作为主要内容。以提高医疗护理质量降低医疗费用，改进服务流程，改善就医环境，方便病人就医，树立“健康第一、患者第一”弘扬玉妥精神，为提高全县人民的健康水平服务。承担</w:t>
      </w:r>
      <w:r>
        <w:rPr>
          <w:rFonts w:hint="eastAsia" w:ascii="仿宋_GB2312" w:hAnsi="ˎ̥" w:eastAsia="仿宋_GB2312"/>
          <w:color w:val="auto"/>
          <w:sz w:val="32"/>
          <w:szCs w:val="32"/>
          <w:lang w:eastAsia="zh-CN"/>
        </w:rPr>
        <w:t>申扎县</w:t>
      </w:r>
      <w:r>
        <w:rPr>
          <w:rFonts w:hint="eastAsia" w:ascii="仿宋_GB2312" w:hAnsi="ˎ̥" w:eastAsia="仿宋_GB2312"/>
          <w:color w:val="auto"/>
          <w:sz w:val="32"/>
          <w:szCs w:val="32"/>
        </w:rPr>
        <w:t>人民院事业的挖掘、整理、发掘和发展。</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2</w:t>
      </w:r>
      <w:r>
        <w:rPr>
          <w:rFonts w:hint="eastAsia" w:ascii="仿宋_GB2312" w:hAnsi="ˎ̥" w:eastAsia="仿宋_GB2312"/>
          <w:color w:val="auto"/>
          <w:sz w:val="32"/>
          <w:szCs w:val="32"/>
          <w:lang w:val="en-US" w:eastAsia="zh-CN"/>
        </w:rPr>
        <w:t>.</w:t>
      </w:r>
      <w:r>
        <w:rPr>
          <w:rFonts w:hint="eastAsia" w:ascii="仿宋_GB2312" w:hAnsi="ˎ̥" w:eastAsia="仿宋_GB2312"/>
          <w:color w:val="auto"/>
          <w:sz w:val="32"/>
          <w:szCs w:val="32"/>
        </w:rPr>
        <w:t>拟定健康教育工作规划、计划与实施方案，开展健康教育和健康促进工作。</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3</w:t>
      </w:r>
      <w:r>
        <w:rPr>
          <w:rFonts w:hint="eastAsia" w:ascii="仿宋_GB2312" w:hAnsi="ˎ̥" w:eastAsia="仿宋_GB2312"/>
          <w:color w:val="auto"/>
          <w:sz w:val="32"/>
          <w:szCs w:val="32"/>
          <w:lang w:val="en-US" w:eastAsia="zh-CN"/>
        </w:rPr>
        <w:t>.</w:t>
      </w:r>
      <w:r>
        <w:rPr>
          <w:rFonts w:hint="eastAsia" w:ascii="仿宋_GB2312" w:hAnsi="ˎ̥" w:eastAsia="仿宋_GB2312"/>
          <w:color w:val="auto"/>
          <w:sz w:val="32"/>
          <w:szCs w:val="32"/>
        </w:rPr>
        <w:t>负责全县传染病疫情等突发公共卫生事件及有关公共卫生信息的收集、分析、报告、管理工作。</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4</w:t>
      </w:r>
      <w:r>
        <w:rPr>
          <w:rFonts w:hint="eastAsia" w:ascii="仿宋_GB2312" w:hAnsi="ˎ̥" w:eastAsia="仿宋_GB2312"/>
          <w:color w:val="auto"/>
          <w:sz w:val="32"/>
          <w:szCs w:val="32"/>
          <w:lang w:val="en-US" w:eastAsia="zh-CN"/>
        </w:rPr>
        <w:t>.</w:t>
      </w:r>
      <w:r>
        <w:rPr>
          <w:rFonts w:hint="eastAsia" w:ascii="仿宋_GB2312" w:hAnsi="ˎ̥" w:eastAsia="仿宋_GB2312"/>
          <w:color w:val="auto"/>
          <w:sz w:val="32"/>
          <w:szCs w:val="32"/>
        </w:rPr>
        <w:t>向社会提供相关的预防保健信息、 健康咨询和预防医学诊疗等专业技术服务。</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5</w:t>
      </w:r>
      <w:r>
        <w:rPr>
          <w:rFonts w:hint="eastAsia" w:ascii="仿宋_GB2312" w:hAnsi="ˎ̥" w:eastAsia="仿宋_GB2312"/>
          <w:color w:val="auto"/>
          <w:sz w:val="32"/>
          <w:szCs w:val="32"/>
          <w:lang w:val="en-US" w:eastAsia="zh-CN"/>
        </w:rPr>
        <w:t>.</w:t>
      </w:r>
      <w:r>
        <w:rPr>
          <w:rFonts w:hint="eastAsia" w:ascii="仿宋_GB2312" w:hAnsi="ˎ̥" w:eastAsia="仿宋_GB2312"/>
          <w:color w:val="auto"/>
          <w:sz w:val="32"/>
          <w:szCs w:val="32"/>
        </w:rPr>
        <w:t>负责全县疾病预防控制业务人员的技术培训、进修和业务指导。</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6</w:t>
      </w:r>
      <w:r>
        <w:rPr>
          <w:rFonts w:hint="eastAsia" w:ascii="仿宋_GB2312" w:hAnsi="ˎ̥" w:eastAsia="仿宋_GB2312"/>
          <w:color w:val="auto"/>
          <w:sz w:val="32"/>
          <w:szCs w:val="32"/>
          <w:lang w:val="en-US" w:eastAsia="zh-CN"/>
        </w:rPr>
        <w:t>.</w:t>
      </w:r>
      <w:r>
        <w:rPr>
          <w:rFonts w:hint="eastAsia" w:ascii="仿宋_GB2312" w:hAnsi="ˎ̥" w:eastAsia="仿宋_GB2312"/>
          <w:color w:val="auto"/>
          <w:sz w:val="32"/>
          <w:szCs w:val="32"/>
        </w:rPr>
        <w:t>承担上级卫生行政和业务部些交办的其它事宜。</w:t>
      </w:r>
    </w:p>
    <w:p>
      <w:pPr>
        <w:spacing w:line="578" w:lineRule="exact"/>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二、机构设置</w:t>
      </w:r>
      <w:bookmarkEnd w:id="14"/>
      <w:bookmarkEnd w:id="15"/>
      <w:bookmarkEnd w:id="16"/>
      <w:bookmarkEnd w:id="17"/>
      <w:bookmarkEnd w:id="18"/>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纳入</w:t>
      </w:r>
      <w:r>
        <w:rPr>
          <w:rFonts w:hint="eastAsia" w:ascii="仿宋_GB2312" w:hAnsi="ˎ̥" w:eastAsia="仿宋_GB2312"/>
          <w:color w:val="auto"/>
          <w:sz w:val="32"/>
          <w:szCs w:val="32"/>
          <w:lang w:val="en-US" w:eastAsia="zh-CN"/>
        </w:rPr>
        <w:t>申扎县</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年度部门决算编制范围的单位共</w:t>
      </w:r>
      <w:r>
        <w:rPr>
          <w:rFonts w:hint="eastAsia" w:ascii="仿宋_GB2312" w:hAnsi="ˎ̥" w:eastAsia="仿宋_GB2312"/>
          <w:color w:val="auto"/>
          <w:sz w:val="32"/>
          <w:szCs w:val="32"/>
          <w:lang w:val="en-US" w:eastAsia="zh-CN"/>
        </w:rPr>
        <w:t>1</w:t>
      </w:r>
      <w:r>
        <w:rPr>
          <w:rFonts w:hint="eastAsia" w:ascii="仿宋_GB2312" w:hAnsi="ˎ̥" w:eastAsia="仿宋_GB2312"/>
          <w:color w:val="auto"/>
          <w:sz w:val="32"/>
          <w:szCs w:val="32"/>
        </w:rPr>
        <w:t>个，包括：</w:t>
      </w:r>
    </w:p>
    <w:p>
      <w:pPr>
        <w:spacing w:line="578" w:lineRule="exact"/>
        <w:ind w:firstLine="640" w:firstLineChars="200"/>
        <w:rPr>
          <w:rFonts w:hint="eastAsia" w:ascii="方正楷体_GBK" w:hAnsi="方正楷体_GBK" w:eastAsia="方正楷体_GBK" w:cs="方正楷体_GBK"/>
          <w:color w:val="auto"/>
          <w:sz w:val="32"/>
          <w:szCs w:val="32"/>
        </w:rPr>
      </w:pPr>
      <w:bookmarkStart w:id="19" w:name="_Toc25738_WPSOffice_Level2"/>
      <w:bookmarkStart w:id="20" w:name="_Toc24421_WPSOffice_Level2"/>
      <w:r>
        <w:rPr>
          <w:rFonts w:hint="eastAsia" w:ascii="方正楷体_GBK" w:hAnsi="方正楷体_GBK" w:eastAsia="方正楷体_GBK" w:cs="方正楷体_GBK"/>
          <w:color w:val="auto"/>
          <w:sz w:val="32"/>
          <w:szCs w:val="32"/>
          <w:lang w:val="en-US" w:eastAsia="zh-CN"/>
        </w:rPr>
        <w:t>申扎县藏医院</w:t>
      </w:r>
      <w:r>
        <w:rPr>
          <w:rFonts w:hint="eastAsia" w:ascii="方正楷体_GBK" w:hAnsi="方正楷体_GBK" w:eastAsia="方正楷体_GBK" w:cs="方正楷体_GBK"/>
          <w:color w:val="auto"/>
          <w:sz w:val="32"/>
          <w:szCs w:val="32"/>
        </w:rPr>
        <w:t>部门本级</w:t>
      </w:r>
      <w:bookmarkEnd w:id="19"/>
      <w:bookmarkEnd w:id="20"/>
    </w:p>
    <w:p>
      <w:pPr>
        <w:spacing w:line="578" w:lineRule="exact"/>
        <w:ind w:firstLine="640" w:firstLineChars="200"/>
        <w:rPr>
          <w:rFonts w:hint="default" w:ascii="仿宋_GB2312" w:hAnsi="ˎ̥" w:eastAsia="仿宋_GB2312"/>
          <w:color w:val="auto"/>
          <w:sz w:val="32"/>
          <w:szCs w:val="32"/>
          <w:lang w:val="en-US" w:eastAsia="zh-CN"/>
        </w:rPr>
      </w:pPr>
      <w:r>
        <w:rPr>
          <w:rFonts w:hint="eastAsia" w:ascii="仿宋_GB2312" w:hAnsi="ˎ̥" w:eastAsia="仿宋_GB2312"/>
          <w:color w:val="auto"/>
          <w:sz w:val="32"/>
          <w:szCs w:val="32"/>
          <w:lang w:val="en-US" w:eastAsia="zh-CN"/>
        </w:rPr>
        <w:t>藏医院</w:t>
      </w:r>
      <w:r>
        <w:rPr>
          <w:rFonts w:hint="eastAsia" w:ascii="仿宋_GB2312" w:hAnsi="ˎ̥" w:eastAsia="仿宋_GB2312"/>
          <w:color w:val="auto"/>
          <w:sz w:val="32"/>
          <w:szCs w:val="32"/>
        </w:rPr>
        <w:t>是基层预算单位，没有下属单位</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无内设机构。</w:t>
      </w:r>
    </w:p>
    <w:p>
      <w:pPr>
        <w:spacing w:line="578" w:lineRule="exact"/>
        <w:jc w:val="center"/>
        <w:rPr>
          <w:rFonts w:hint="eastAsia" w:ascii="黑体" w:hAnsi="ˎ̥" w:eastAsia="黑体"/>
          <w:color w:val="auto"/>
          <w:sz w:val="32"/>
          <w:szCs w:val="32"/>
        </w:rPr>
      </w:pPr>
      <w:bookmarkStart w:id="21" w:name="_Toc30451_WPSOffice_Level1"/>
      <w:bookmarkStart w:id="22" w:name="_Toc15521_WPSOffice_Level1"/>
      <w:bookmarkStart w:id="23" w:name="_Toc30690_WPSOffice_Level1"/>
      <w:bookmarkStart w:id="24" w:name="_Toc6234_WPSOffice_Level1"/>
      <w:bookmarkStart w:id="25" w:name="_Toc8164_WPSOffice_Level1"/>
      <w:bookmarkStart w:id="26" w:name="_Toc28253_WPSOffice_Level1"/>
      <w:bookmarkStart w:id="27" w:name="_Toc32695_WPSOffice_Level2"/>
      <w:bookmarkStart w:id="28" w:name="_Toc6211_WPSOffice_Level2"/>
      <w:bookmarkStart w:id="29" w:name="_Toc4029_WPSOffice_Level2"/>
      <w:bookmarkStart w:id="30" w:name="_Toc32472_WPSOffice_Level2"/>
      <w:bookmarkStart w:id="31" w:name="_Toc11518_WPSOffice_Level2"/>
      <w:bookmarkStart w:id="32" w:name="_Toc8867_WPSOffice_Level2"/>
    </w:p>
    <w:p>
      <w:pPr>
        <w:rPr>
          <w:rFonts w:hint="eastAsia" w:ascii="黑体" w:hAnsi="ˎ̥" w:eastAsia="黑体"/>
          <w:color w:val="auto"/>
          <w:sz w:val="32"/>
          <w:szCs w:val="32"/>
        </w:rPr>
      </w:pPr>
      <w:r>
        <w:rPr>
          <w:rFonts w:hint="eastAsia" w:ascii="黑体" w:hAnsi="ˎ̥" w:eastAsia="黑体"/>
          <w:color w:val="auto"/>
          <w:sz w:val="32"/>
          <w:szCs w:val="32"/>
        </w:rPr>
        <w:br w:type="page"/>
      </w:r>
    </w:p>
    <w:p>
      <w:pPr>
        <w:spacing w:line="578" w:lineRule="exact"/>
        <w:jc w:val="center"/>
        <w:rPr>
          <w:rFonts w:hint="eastAsia" w:ascii="黑体" w:hAnsi="ˎ̥" w:eastAsia="黑体"/>
          <w:color w:val="auto"/>
          <w:sz w:val="32"/>
          <w:szCs w:val="32"/>
        </w:rPr>
      </w:pPr>
      <w:r>
        <w:rPr>
          <w:rFonts w:hint="eastAsia" w:ascii="黑体" w:hAnsi="ˎ̥" w:eastAsia="黑体"/>
          <w:color w:val="auto"/>
          <w:sz w:val="32"/>
          <w:szCs w:val="32"/>
        </w:rPr>
        <w:t xml:space="preserve">第二部分  </w:t>
      </w:r>
      <w:r>
        <w:rPr>
          <w:rFonts w:hint="default" w:ascii="黑体" w:hAnsi="ˎ̥" w:eastAsia="黑体"/>
          <w:color w:val="auto"/>
          <w:sz w:val="32"/>
          <w:szCs w:val="32"/>
          <w:lang w:val="en-US"/>
        </w:rPr>
        <w:t>2024</w:t>
      </w:r>
      <w:r>
        <w:rPr>
          <w:rFonts w:hint="eastAsia" w:ascii="黑体" w:hAnsi="ˎ̥" w:eastAsia="黑体"/>
          <w:color w:val="auto"/>
          <w:sz w:val="32"/>
          <w:szCs w:val="32"/>
        </w:rPr>
        <w:t>年度部门决算公开报表</w:t>
      </w:r>
      <w:bookmarkEnd w:id="21"/>
      <w:bookmarkEnd w:id="22"/>
      <w:bookmarkEnd w:id="23"/>
      <w:bookmarkEnd w:id="24"/>
      <w:bookmarkEnd w:id="25"/>
      <w:bookmarkEnd w:id="26"/>
    </w:p>
    <w:p>
      <w:pPr>
        <w:spacing w:line="578" w:lineRule="exact"/>
        <w:ind w:firstLine="645"/>
        <w:rPr>
          <w:rFonts w:hint="eastAsia" w:ascii="黑体" w:hAnsi="黑体" w:eastAsia="黑体" w:cs="黑体"/>
          <w:color w:val="auto"/>
          <w:sz w:val="32"/>
          <w:szCs w:val="32"/>
        </w:rPr>
      </w:pPr>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一、收入支出决算公开表</w:t>
      </w:r>
      <w:bookmarkEnd w:id="27"/>
      <w:bookmarkEnd w:id="28"/>
      <w:bookmarkEnd w:id="29"/>
      <w:bookmarkEnd w:id="30"/>
      <w:bookmarkEnd w:id="31"/>
      <w:bookmarkEnd w:id="32"/>
    </w:p>
    <w:p>
      <w:pPr>
        <w:spacing w:line="578" w:lineRule="exact"/>
        <w:ind w:firstLine="645"/>
        <w:rPr>
          <w:rFonts w:hint="eastAsia" w:ascii="黑体" w:hAnsi="黑体" w:eastAsia="黑体" w:cs="黑体"/>
          <w:color w:val="auto"/>
          <w:sz w:val="32"/>
          <w:szCs w:val="32"/>
        </w:rPr>
      </w:pPr>
      <w:bookmarkStart w:id="33" w:name="_Toc26621_WPSOffice_Level2"/>
      <w:bookmarkStart w:id="34" w:name="_Toc14349_WPSOffice_Level2"/>
      <w:bookmarkStart w:id="35" w:name="_Toc28622_WPSOffice_Level2"/>
      <w:bookmarkStart w:id="36" w:name="_Toc30334_WPSOffice_Level2"/>
      <w:bookmarkStart w:id="37" w:name="_Toc23139_WPSOffice_Level2"/>
      <w:bookmarkStart w:id="38" w:name="_Toc25608_WPSOffice_Level2"/>
      <w:r>
        <w:rPr>
          <w:rFonts w:hint="eastAsia" w:ascii="黑体" w:hAnsi="黑体" w:eastAsia="黑体" w:cs="黑体"/>
          <w:color w:val="auto"/>
          <w:sz w:val="32"/>
          <w:szCs w:val="32"/>
        </w:rPr>
        <w:t>二、收入决算公开表</w:t>
      </w:r>
      <w:bookmarkEnd w:id="33"/>
      <w:bookmarkEnd w:id="34"/>
      <w:bookmarkEnd w:id="35"/>
      <w:bookmarkEnd w:id="36"/>
      <w:bookmarkEnd w:id="37"/>
      <w:bookmarkEnd w:id="38"/>
      <w:bookmarkStart w:id="39" w:name="_Toc17858_WPSOffice_Level2"/>
      <w:bookmarkStart w:id="40" w:name="_Toc3262_WPSOffice_Level2"/>
      <w:bookmarkStart w:id="41" w:name="_Toc5489_WPSOffice_Level2"/>
      <w:bookmarkStart w:id="42" w:name="_Toc14658_WPSOffice_Level2"/>
      <w:bookmarkStart w:id="43" w:name="_Toc13854_WPSOffice_Level2"/>
      <w:bookmarkStart w:id="44" w:name="_Toc17626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三、支出决算公开表</w:t>
      </w:r>
      <w:bookmarkEnd w:id="39"/>
      <w:bookmarkEnd w:id="40"/>
      <w:bookmarkEnd w:id="41"/>
      <w:bookmarkEnd w:id="42"/>
      <w:bookmarkEnd w:id="43"/>
      <w:bookmarkEnd w:id="44"/>
      <w:bookmarkStart w:id="45" w:name="_Toc21415_WPSOffice_Level2"/>
      <w:bookmarkStart w:id="46" w:name="_Toc4265_WPSOffice_Level2"/>
      <w:bookmarkStart w:id="47" w:name="_Toc13701_WPSOffice_Level2"/>
      <w:bookmarkStart w:id="48" w:name="_Toc23591_WPSOffice_Level2"/>
      <w:bookmarkStart w:id="49" w:name="_Toc7988_WPSOffice_Level2"/>
      <w:bookmarkStart w:id="50" w:name="_Toc23493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四、财政拨款收入支出决算公开表</w:t>
      </w:r>
      <w:bookmarkEnd w:id="45"/>
      <w:bookmarkEnd w:id="46"/>
      <w:bookmarkEnd w:id="47"/>
      <w:bookmarkEnd w:id="48"/>
      <w:bookmarkEnd w:id="49"/>
      <w:bookmarkEnd w:id="50"/>
    </w:p>
    <w:p>
      <w:pPr>
        <w:spacing w:line="578" w:lineRule="exact"/>
        <w:ind w:firstLine="645"/>
        <w:rPr>
          <w:rFonts w:hint="eastAsia" w:ascii="黑体" w:hAnsi="黑体" w:eastAsia="黑体" w:cs="黑体"/>
          <w:color w:val="auto"/>
          <w:sz w:val="32"/>
          <w:szCs w:val="32"/>
        </w:rPr>
      </w:pPr>
      <w:bookmarkStart w:id="51" w:name="_Toc22783_WPSOffice_Level2"/>
      <w:bookmarkStart w:id="52" w:name="_Toc23829_WPSOffice_Level2"/>
      <w:bookmarkStart w:id="53" w:name="_Toc7879_WPSOffice_Level2"/>
      <w:bookmarkStart w:id="54" w:name="_Toc25166_WPSOffice_Level2"/>
      <w:bookmarkStart w:id="55" w:name="_Toc2158_WPSOffice_Level2"/>
      <w:bookmarkStart w:id="56" w:name="_Toc13516_WPSOffice_Level2"/>
      <w:r>
        <w:rPr>
          <w:rFonts w:hint="eastAsia" w:ascii="黑体" w:hAnsi="黑体" w:eastAsia="黑体" w:cs="黑体"/>
          <w:color w:val="auto"/>
          <w:sz w:val="32"/>
          <w:szCs w:val="32"/>
        </w:rPr>
        <w:t>五、一般公共预算财政拨款收入支出决算</w:t>
      </w:r>
      <w:bookmarkEnd w:id="51"/>
      <w:bookmarkEnd w:id="52"/>
      <w:bookmarkEnd w:id="53"/>
      <w:bookmarkEnd w:id="54"/>
      <w:r>
        <w:rPr>
          <w:rFonts w:hint="eastAsia" w:ascii="黑体" w:hAnsi="黑体" w:eastAsia="黑体" w:cs="黑体"/>
          <w:color w:val="auto"/>
          <w:sz w:val="32"/>
          <w:szCs w:val="32"/>
        </w:rPr>
        <w:t>公开表</w:t>
      </w:r>
      <w:bookmarkEnd w:id="55"/>
      <w:bookmarkEnd w:id="56"/>
      <w:bookmarkStart w:id="57" w:name="_Toc8373_WPSOffice_Level2"/>
      <w:bookmarkStart w:id="58" w:name="_Toc25362_WPSOffice_Level2"/>
      <w:bookmarkStart w:id="59" w:name="_Toc5343_WPSOffice_Level2"/>
      <w:bookmarkStart w:id="60" w:name="_Toc17833_WPSOffice_Level2"/>
      <w:bookmarkStart w:id="61" w:name="_Toc2632_WPSOffice_Level2"/>
      <w:bookmarkStart w:id="62" w:name="_Toc17283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六、一般公共预算财政拨款基本支出决算</w:t>
      </w:r>
      <w:bookmarkEnd w:id="57"/>
      <w:bookmarkEnd w:id="58"/>
      <w:bookmarkEnd w:id="59"/>
      <w:bookmarkEnd w:id="60"/>
      <w:bookmarkEnd w:id="61"/>
      <w:bookmarkEnd w:id="62"/>
      <w:r>
        <w:rPr>
          <w:rFonts w:hint="eastAsia" w:ascii="黑体" w:hAnsi="黑体" w:eastAsia="黑体" w:cs="黑体"/>
          <w:color w:val="auto"/>
          <w:sz w:val="32"/>
          <w:szCs w:val="32"/>
        </w:rPr>
        <w:t>公开表</w:t>
      </w:r>
    </w:p>
    <w:p>
      <w:pPr>
        <w:spacing w:line="578" w:lineRule="exact"/>
        <w:ind w:left="1118" w:leftChars="304" w:hanging="480" w:hangingChars="150"/>
        <w:rPr>
          <w:rFonts w:hint="eastAsia" w:ascii="黑体" w:hAnsi="黑体" w:eastAsia="黑体" w:cs="黑体"/>
          <w:color w:val="auto"/>
          <w:sz w:val="32"/>
          <w:szCs w:val="32"/>
        </w:rPr>
      </w:pPr>
      <w:bookmarkStart w:id="63" w:name="_Toc13345_WPSOffice_Level2"/>
      <w:bookmarkStart w:id="64" w:name="_Toc1533_WPSOffice_Level2"/>
      <w:bookmarkStart w:id="65" w:name="_Toc11799_WPSOffice_Level2"/>
      <w:bookmarkStart w:id="66" w:name="_Toc21310_WPSOffice_Level2"/>
      <w:bookmarkStart w:id="67" w:name="_Toc6020_WPSOffice_Level2"/>
      <w:bookmarkStart w:id="68" w:name="_Toc5594_WPSOffice_Level2"/>
      <w:r>
        <w:rPr>
          <w:rFonts w:hint="eastAsia" w:ascii="黑体" w:hAnsi="黑体" w:eastAsia="黑体" w:cs="黑体"/>
          <w:color w:val="auto"/>
          <w:sz w:val="32"/>
          <w:szCs w:val="32"/>
        </w:rPr>
        <w:t>七、政府性基金预算财政拨款收入支出决算</w:t>
      </w:r>
      <w:bookmarkEnd w:id="63"/>
      <w:bookmarkEnd w:id="64"/>
      <w:bookmarkEnd w:id="65"/>
      <w:bookmarkEnd w:id="66"/>
      <w:bookmarkEnd w:id="67"/>
      <w:bookmarkEnd w:id="68"/>
      <w:r>
        <w:rPr>
          <w:rFonts w:hint="eastAsia" w:ascii="黑体" w:hAnsi="黑体" w:eastAsia="黑体" w:cs="黑体"/>
          <w:color w:val="auto"/>
          <w:sz w:val="32"/>
          <w:szCs w:val="32"/>
        </w:rPr>
        <w:t>公开表</w:t>
      </w:r>
    </w:p>
    <w:p>
      <w:pPr>
        <w:spacing w:line="578" w:lineRule="exact"/>
        <w:ind w:left="1118" w:leftChars="304" w:hanging="480" w:hangingChars="150"/>
        <w:rPr>
          <w:rFonts w:hint="eastAsia" w:ascii="黑体" w:hAnsi="黑体" w:eastAsia="黑体" w:cs="黑体"/>
          <w:color w:val="auto"/>
          <w:sz w:val="32"/>
          <w:szCs w:val="32"/>
        </w:rPr>
      </w:pPr>
      <w:r>
        <w:rPr>
          <w:rFonts w:hint="eastAsia" w:ascii="黑体" w:hAnsi="黑体" w:eastAsia="黑体" w:cs="黑体"/>
          <w:color w:val="auto"/>
          <w:sz w:val="32"/>
          <w:szCs w:val="32"/>
        </w:rPr>
        <w:t>八、国有资本经营预算财政拨款收入支出决算公开表</w:t>
      </w:r>
    </w:p>
    <w:p>
      <w:pPr>
        <w:spacing w:line="578" w:lineRule="exact"/>
        <w:ind w:firstLine="640"/>
        <w:rPr>
          <w:rFonts w:hint="eastAsia" w:ascii="黑体" w:hAnsi="黑体" w:eastAsia="黑体" w:cs="黑体"/>
          <w:color w:val="auto"/>
          <w:sz w:val="32"/>
          <w:szCs w:val="32"/>
        </w:rPr>
      </w:pPr>
      <w:bookmarkStart w:id="69" w:name="_Toc1820_WPSOffice_Level2"/>
      <w:bookmarkStart w:id="70" w:name="_Toc9377_WPSOffice_Level2"/>
      <w:bookmarkStart w:id="71" w:name="_Toc29886_WPSOffice_Level2"/>
      <w:bookmarkStart w:id="72" w:name="_Toc19961_WPSOffice_Level2"/>
      <w:r>
        <w:rPr>
          <w:rFonts w:hint="eastAsia" w:ascii="黑体" w:hAnsi="黑体" w:eastAsia="黑体" w:cs="黑体"/>
          <w:color w:val="auto"/>
          <w:sz w:val="32"/>
          <w:szCs w:val="32"/>
        </w:rPr>
        <w:t>九、财政拨款“三公”经费支出决算</w:t>
      </w:r>
      <w:bookmarkEnd w:id="69"/>
      <w:bookmarkEnd w:id="70"/>
      <w:bookmarkEnd w:id="71"/>
      <w:bookmarkEnd w:id="72"/>
      <w:r>
        <w:rPr>
          <w:rFonts w:hint="eastAsia" w:ascii="黑体" w:hAnsi="黑体" w:eastAsia="黑体" w:cs="黑体"/>
          <w:color w:val="auto"/>
          <w:sz w:val="32"/>
          <w:szCs w:val="32"/>
        </w:rPr>
        <w:t>公开表</w:t>
      </w:r>
    </w:p>
    <w:p>
      <w:pPr>
        <w:spacing w:line="578" w:lineRule="exact"/>
        <w:ind w:firstLine="640"/>
        <w:rPr>
          <w:rFonts w:hint="eastAsia" w:ascii="仿宋" w:hAnsi="仿宋" w:eastAsia="仿宋" w:cs="仿宋"/>
          <w:color w:val="auto"/>
          <w:w w:val="100"/>
          <w:sz w:val="32"/>
          <w:szCs w:val="32"/>
        </w:rPr>
      </w:pPr>
      <w:r>
        <w:rPr>
          <w:rFonts w:hint="eastAsia" w:ascii="仿宋" w:hAnsi="仿宋" w:eastAsia="仿宋" w:cs="仿宋"/>
          <w:color w:val="auto"/>
          <w:w w:val="100"/>
          <w:sz w:val="32"/>
          <w:szCs w:val="32"/>
        </w:rPr>
        <w:t xml:space="preserve">以上报表见附件1。   </w:t>
      </w:r>
    </w:p>
    <w:p>
      <w:pPr>
        <w:spacing w:line="578" w:lineRule="exact"/>
        <w:rPr>
          <w:rFonts w:hint="eastAsia" w:ascii="黑体" w:hAnsi="黑体" w:eastAsia="黑体" w:cs="黑体"/>
          <w:color w:val="auto"/>
          <w:sz w:val="32"/>
          <w:szCs w:val="32"/>
        </w:rPr>
      </w:pPr>
    </w:p>
    <w:p>
      <w:pPr>
        <w:rPr>
          <w:rFonts w:hint="eastAsia" w:ascii="黑体" w:hAnsi="ˎ̥" w:eastAsia="黑体"/>
          <w:color w:val="auto"/>
          <w:sz w:val="32"/>
          <w:szCs w:val="32"/>
        </w:rPr>
      </w:pPr>
      <w:bookmarkStart w:id="73" w:name="_Toc16686_WPSOffice_Level1"/>
      <w:bookmarkStart w:id="74" w:name="_Toc28629_WPSOffice_Level1"/>
      <w:bookmarkStart w:id="75" w:name="_Toc27590_WPSOffice_Level1"/>
      <w:bookmarkStart w:id="76" w:name="_Toc31264_WPSOffice_Level1"/>
      <w:bookmarkStart w:id="77" w:name="_Toc4402_WPSOffice_Level1"/>
      <w:bookmarkStart w:id="78" w:name="_Toc29683_WPSOffice_Level1"/>
      <w:r>
        <w:rPr>
          <w:rFonts w:hint="eastAsia" w:ascii="黑体" w:hAnsi="ˎ̥" w:eastAsia="黑体"/>
          <w:color w:val="auto"/>
          <w:sz w:val="32"/>
          <w:szCs w:val="32"/>
        </w:rPr>
        <w:br w:type="page"/>
      </w:r>
    </w:p>
    <w:p>
      <w:pPr>
        <w:spacing w:line="578" w:lineRule="exact"/>
        <w:jc w:val="center"/>
        <w:rPr>
          <w:rFonts w:hint="eastAsia" w:ascii="黑体" w:hAnsi="ˎ̥" w:eastAsia="黑体"/>
          <w:color w:val="auto"/>
          <w:sz w:val="32"/>
          <w:szCs w:val="32"/>
        </w:rPr>
      </w:pPr>
      <w:r>
        <w:rPr>
          <w:rFonts w:hint="eastAsia" w:ascii="黑体" w:hAnsi="ˎ̥" w:eastAsia="黑体"/>
          <w:color w:val="auto"/>
          <w:sz w:val="32"/>
          <w:szCs w:val="32"/>
        </w:rPr>
        <w:t xml:space="preserve">第三部分  </w:t>
      </w:r>
      <w:r>
        <w:rPr>
          <w:rFonts w:hint="default" w:ascii="黑体" w:hAnsi="ˎ̥" w:eastAsia="黑体"/>
          <w:color w:val="auto"/>
          <w:sz w:val="32"/>
          <w:szCs w:val="32"/>
          <w:lang w:val="en-US"/>
        </w:rPr>
        <w:t>2024</w:t>
      </w:r>
      <w:r>
        <w:rPr>
          <w:rFonts w:hint="eastAsia" w:ascii="黑体" w:hAnsi="ˎ̥" w:eastAsia="黑体"/>
          <w:color w:val="auto"/>
          <w:sz w:val="32"/>
          <w:szCs w:val="32"/>
        </w:rPr>
        <w:t>年度部门决算情况说明</w:t>
      </w:r>
      <w:bookmarkEnd w:id="73"/>
      <w:bookmarkEnd w:id="74"/>
      <w:bookmarkEnd w:id="75"/>
      <w:bookmarkEnd w:id="76"/>
      <w:bookmarkEnd w:id="77"/>
      <w:bookmarkEnd w:id="78"/>
    </w:p>
    <w:p>
      <w:pPr>
        <w:spacing w:line="578" w:lineRule="exact"/>
        <w:jc w:val="center"/>
        <w:rPr>
          <w:rFonts w:hint="eastAsia" w:ascii="黑体" w:hAnsi="ˎ̥" w:eastAsia="黑体"/>
          <w:color w:val="auto"/>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黑体" w:hAnsi="黑体" w:eastAsia="黑体" w:cs="黑体"/>
          <w:bCs/>
          <w:color w:val="auto"/>
          <w:sz w:val="32"/>
          <w:szCs w:val="32"/>
        </w:rPr>
        <w:t>一、收入支出总体情况说明</w:t>
      </w:r>
      <w:r>
        <w:rPr>
          <w:rFonts w:hint="eastAsia" w:ascii="黑体" w:hAnsi="黑体" w:eastAsia="黑体" w:cs="黑体"/>
          <w:bCs/>
          <w:color w:val="auto"/>
          <w:sz w:val="32"/>
          <w:szCs w:val="32"/>
        </w:rPr>
        <w:br w:type="textWrapping"/>
      </w:r>
      <w:r>
        <w:rPr>
          <w:rFonts w:hint="eastAsia" w:ascii="楷体_GB2312" w:hAnsi="ˎ̥" w:eastAsia="楷体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年度收入总计</w:t>
      </w:r>
      <w:r>
        <w:rPr>
          <w:rFonts w:hint="default" w:ascii="仿宋_GB2312" w:hAnsi="ˎ̥" w:eastAsia="仿宋_GB2312"/>
          <w:color w:val="auto"/>
          <w:sz w:val="32"/>
          <w:szCs w:val="32"/>
          <w:lang w:val="en-US"/>
        </w:rPr>
        <w:t>975.10</w:t>
      </w:r>
      <w:r>
        <w:rPr>
          <w:rFonts w:hint="eastAsia" w:ascii="仿宋_GB2312" w:hAnsi="ˎ̥" w:eastAsia="仿宋_GB2312"/>
          <w:color w:val="auto"/>
          <w:sz w:val="32"/>
          <w:szCs w:val="32"/>
        </w:rPr>
        <w:t>万元，支出总计</w:t>
      </w:r>
      <w:r>
        <w:rPr>
          <w:rFonts w:hint="default" w:ascii="仿宋_GB2312" w:hAnsi="ˎ̥" w:eastAsia="仿宋_GB2312"/>
          <w:color w:val="auto"/>
          <w:sz w:val="32"/>
          <w:szCs w:val="32"/>
          <w:lang w:val="en-US"/>
        </w:rPr>
        <w:t>975.10</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年度相比，收入、支出总计各增加</w:t>
      </w:r>
      <w:r>
        <w:rPr>
          <w:rFonts w:hint="eastAsia" w:ascii="仿宋_GB2312" w:hAnsi="ˎ̥" w:eastAsia="仿宋_GB2312"/>
          <w:color w:val="auto"/>
          <w:sz w:val="32"/>
          <w:szCs w:val="32"/>
          <w:lang w:val="en-US" w:eastAsia="zh-CN"/>
        </w:rPr>
        <w:t>5.19</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0.5</w:t>
      </w:r>
      <w:r>
        <w:rPr>
          <w:rFonts w:hint="eastAsia" w:ascii="仿宋_GB2312" w:hAnsi="ˎ̥" w:eastAsia="仿宋_GB2312"/>
          <w:color w:val="auto"/>
          <w:sz w:val="32"/>
          <w:szCs w:val="32"/>
        </w:rPr>
        <w:t>%。主要原因：</w:t>
      </w:r>
      <w:r>
        <w:rPr>
          <w:rFonts w:hint="eastAsia" w:ascii="仿宋_GB2312" w:hAnsi="ˎ̥" w:eastAsia="仿宋_GB2312"/>
          <w:color w:val="auto"/>
          <w:sz w:val="32"/>
          <w:szCs w:val="32"/>
          <w:lang w:val="en-US" w:eastAsia="zh-CN"/>
        </w:rPr>
        <w:t>专项资金减少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color w:val="auto"/>
          <w:sz w:val="32"/>
          <w:szCs w:val="32"/>
        </w:rPr>
      </w:pPr>
      <w:r>
        <w:rPr>
          <w:rFonts w:hint="eastAsia" w:ascii="楷体" w:hAnsi="楷体" w:eastAsia="楷体" w:cs="楷体"/>
          <w:color w:val="auto"/>
          <w:sz w:val="32"/>
          <w:szCs w:val="32"/>
        </w:rPr>
        <w:t>（一</w:t>
      </w:r>
      <w:r>
        <w:rPr>
          <w:rFonts w:ascii="楷体" w:hAnsi="楷体" w:eastAsia="楷体" w:cs="楷体"/>
          <w:color w:val="auto"/>
          <w:sz w:val="32"/>
          <w:szCs w:val="32"/>
        </w:rPr>
        <w:t>）</w:t>
      </w:r>
      <w:r>
        <w:rPr>
          <w:rFonts w:hint="eastAsia" w:ascii="楷体" w:hAnsi="楷体" w:eastAsia="楷体" w:cs="楷体"/>
          <w:color w:val="auto"/>
          <w:sz w:val="32"/>
          <w:szCs w:val="32"/>
        </w:rPr>
        <w:t>收入</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本年</w:t>
      </w:r>
      <w:r>
        <w:rPr>
          <w:rFonts w:ascii="仿宋_GB2312" w:hAnsi="ˎ̥" w:eastAsia="仿宋_GB2312"/>
          <w:color w:val="auto"/>
          <w:sz w:val="32"/>
          <w:szCs w:val="32"/>
        </w:rPr>
        <w:t>收入</w:t>
      </w:r>
      <w:r>
        <w:rPr>
          <w:rFonts w:hint="default" w:ascii="仿宋_GB2312" w:hAnsi="ˎ̥" w:eastAsia="仿宋_GB2312"/>
          <w:color w:val="auto"/>
          <w:sz w:val="32"/>
          <w:szCs w:val="32"/>
          <w:lang w:val="en-US"/>
        </w:rPr>
        <w:t>975.10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使用非财政拨款结余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w:t>
      </w:r>
      <w:r>
        <w:rPr>
          <w:rFonts w:hint="eastAsia" w:ascii="仿宋_GB2312" w:hAnsi="ˎ̥" w:eastAsia="仿宋_GB2312"/>
          <w:color w:val="auto"/>
          <w:sz w:val="32"/>
          <w:szCs w:val="32"/>
          <w:lang w:val="en-US" w:eastAsia="zh-CN"/>
        </w:rPr>
        <w:t>相同</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年初结转结余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w:t>
      </w:r>
      <w:r>
        <w:rPr>
          <w:rFonts w:hint="eastAsia" w:ascii="仿宋_GB2312" w:hAnsi="ˎ̥" w:eastAsia="仿宋_GB2312"/>
          <w:color w:val="auto"/>
          <w:sz w:val="32"/>
          <w:szCs w:val="32"/>
          <w:lang w:val="en-US" w:eastAsia="zh-CN"/>
        </w:rPr>
        <w:t>相同</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lang w:eastAsia="zh-CN"/>
        </w:rPr>
      </w:pPr>
      <w:r>
        <w:rPr>
          <w:rFonts w:hint="eastAsia" w:ascii="楷体" w:hAnsi="楷体" w:eastAsia="楷体" w:cs="楷体"/>
          <w:color w:val="auto"/>
          <w:sz w:val="32"/>
          <w:szCs w:val="32"/>
        </w:rPr>
        <w:t>（二</w:t>
      </w:r>
      <w:r>
        <w:rPr>
          <w:rFonts w:ascii="楷体" w:hAnsi="楷体" w:eastAsia="楷体" w:cs="楷体"/>
          <w:color w:val="auto"/>
          <w:sz w:val="32"/>
          <w:szCs w:val="32"/>
        </w:rPr>
        <w:t>）</w:t>
      </w:r>
      <w:r>
        <w:rPr>
          <w:rFonts w:hint="eastAsia" w:ascii="楷体" w:hAnsi="楷体" w:eastAsia="楷体" w:cs="楷体"/>
          <w:color w:val="auto"/>
          <w:sz w:val="32"/>
          <w:szCs w:val="32"/>
        </w:rPr>
        <w:t>支出</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975.10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结余分配</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w:t>
      </w:r>
      <w:r>
        <w:rPr>
          <w:rFonts w:hint="eastAsia" w:ascii="仿宋_GB2312" w:hAnsi="ˎ̥" w:eastAsia="仿宋_GB2312"/>
          <w:color w:val="auto"/>
          <w:sz w:val="32"/>
          <w:szCs w:val="32"/>
          <w:lang w:val="en-US" w:eastAsia="zh-CN"/>
        </w:rPr>
        <w:t>相同</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w:t>
      </w:r>
      <w:r>
        <w:rPr>
          <w:rFonts w:hint="eastAsia" w:ascii="仿宋_GB2312" w:hAnsi="ˎ̥" w:eastAsia="仿宋_GB2312"/>
          <w:color w:val="auto"/>
          <w:sz w:val="32"/>
          <w:szCs w:val="32"/>
          <w:lang w:val="en-US" w:eastAsia="zh-CN"/>
        </w:rPr>
        <w:t>相同</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bookmarkStart w:id="121" w:name="_GoBack"/>
      <w:bookmarkEnd w:id="121"/>
      <w:r>
        <w:rPr>
          <w:rFonts w:hint="eastAsia" w:ascii="黑体" w:hAnsi="黑体" w:eastAsia="黑体" w:cs="黑体"/>
          <w:bCs/>
          <w:color w:val="auto"/>
          <w:sz w:val="32"/>
          <w:szCs w:val="32"/>
        </w:rPr>
        <w:t>二、收入决算情况说明</w:t>
      </w:r>
      <w:r>
        <w:rPr>
          <w:rFonts w:hint="eastAsia" w:ascii="黑体" w:hAnsi="黑体" w:eastAsia="黑体" w:cs="黑体"/>
          <w:bCs/>
          <w:color w:val="auto"/>
          <w:sz w:val="32"/>
          <w:szCs w:val="32"/>
        </w:rPr>
        <w:br w:type="textWrapping"/>
      </w:r>
      <w:r>
        <w:rPr>
          <w:rFonts w:hint="eastAsia" w:ascii="仿宋_GB2312" w:hAnsi="ˎ̥" w:eastAsia="仿宋_GB2312"/>
          <w:color w:val="auto"/>
          <w:sz w:val="32"/>
          <w:szCs w:val="32"/>
        </w:rPr>
        <w:t xml:space="preserve">    本年收入</w:t>
      </w:r>
      <w:r>
        <w:rPr>
          <w:rFonts w:hint="default" w:ascii="仿宋_GB2312" w:hAnsi="ˎ̥" w:eastAsia="仿宋_GB2312"/>
          <w:color w:val="auto"/>
          <w:sz w:val="32"/>
          <w:szCs w:val="32"/>
          <w:lang w:val="en-US"/>
        </w:rPr>
        <w:t>975.10</w:t>
      </w:r>
      <w:r>
        <w:rPr>
          <w:rFonts w:hint="eastAsia" w:ascii="仿宋_GB2312" w:hAnsi="ˎ̥" w:eastAsia="仿宋_GB2312"/>
          <w:color w:val="auto"/>
          <w:sz w:val="32"/>
          <w:szCs w:val="32"/>
        </w:rPr>
        <w:t>万元，其中：财政拨款收入</w:t>
      </w:r>
      <w:r>
        <w:rPr>
          <w:rFonts w:hint="default" w:ascii="仿宋_GB2312" w:hAnsi="ˎ̥" w:eastAsia="仿宋_GB2312"/>
          <w:color w:val="auto"/>
          <w:sz w:val="32"/>
          <w:szCs w:val="32"/>
          <w:lang w:val="en-US"/>
        </w:rPr>
        <w:t>975.10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黑体" w:hAnsi="黑体" w:eastAsia="黑体" w:cs="黑体"/>
          <w:bCs/>
          <w:color w:val="auto"/>
          <w:sz w:val="32"/>
          <w:szCs w:val="32"/>
        </w:rPr>
      </w:pPr>
      <w:r>
        <w:rPr>
          <w:rFonts w:hint="eastAsia" w:ascii="仿宋_GB2312" w:hAnsi="ˎ̥" w:eastAsia="仿宋_GB2312"/>
          <w:color w:val="auto"/>
          <w:sz w:val="32"/>
          <w:szCs w:val="32"/>
        </w:rPr>
        <w:t xml:space="preserve"> </w:t>
      </w:r>
      <w:r>
        <w:rPr>
          <w:rFonts w:hint="eastAsia" w:ascii="黑体" w:hAnsi="黑体" w:eastAsia="黑体" w:cs="黑体"/>
          <w:bCs/>
          <w:color w:val="auto"/>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975.10</w:t>
      </w:r>
      <w:r>
        <w:rPr>
          <w:rFonts w:hint="eastAsia" w:ascii="仿宋_GB2312" w:hAnsi="ˎ̥" w:eastAsia="仿宋_GB2312"/>
          <w:color w:val="auto"/>
          <w:sz w:val="32"/>
          <w:szCs w:val="32"/>
        </w:rPr>
        <w:t>万元，其中：基本支出</w:t>
      </w:r>
      <w:r>
        <w:rPr>
          <w:rFonts w:hint="default" w:ascii="仿宋_GB2312" w:hAnsi="ˎ̥" w:eastAsia="仿宋_GB2312"/>
          <w:color w:val="auto"/>
          <w:sz w:val="32"/>
          <w:szCs w:val="32"/>
          <w:lang w:val="en-US"/>
        </w:rPr>
        <w:t>877.67</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90</w:t>
      </w:r>
      <w:r>
        <w:rPr>
          <w:rFonts w:hint="eastAsia" w:ascii="仿宋_GB2312" w:hAnsi="ˎ̥" w:eastAsia="仿宋_GB2312"/>
          <w:color w:val="auto"/>
          <w:sz w:val="32"/>
          <w:szCs w:val="32"/>
        </w:rPr>
        <w:t>%；项目支出</w:t>
      </w:r>
      <w:r>
        <w:rPr>
          <w:rFonts w:hint="default" w:ascii="仿宋_GB2312" w:hAnsi="ˎ̥" w:eastAsia="仿宋_GB2312"/>
          <w:color w:val="auto"/>
          <w:sz w:val="32"/>
          <w:szCs w:val="32"/>
          <w:lang w:val="en-US"/>
        </w:rPr>
        <w:t>97.43</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年度财政拨款收入</w:t>
      </w:r>
      <w:r>
        <w:rPr>
          <w:rFonts w:hint="default" w:ascii="仿宋_GB2312" w:hAnsi="ˎ̥" w:eastAsia="仿宋_GB2312"/>
          <w:color w:val="auto"/>
          <w:sz w:val="32"/>
          <w:szCs w:val="32"/>
          <w:lang w:val="en-US"/>
        </w:rPr>
        <w:t>975.10</w:t>
      </w:r>
      <w:r>
        <w:rPr>
          <w:rFonts w:hint="eastAsia" w:ascii="仿宋_GB2312" w:hAnsi="ˎ̥" w:eastAsia="仿宋_GB2312"/>
          <w:color w:val="auto"/>
          <w:sz w:val="32"/>
          <w:szCs w:val="32"/>
        </w:rPr>
        <w:t>万元，支出</w:t>
      </w:r>
      <w:r>
        <w:rPr>
          <w:rFonts w:hint="default" w:ascii="仿宋_GB2312" w:hAnsi="ˎ̥" w:eastAsia="仿宋_GB2312"/>
          <w:color w:val="auto"/>
          <w:sz w:val="32"/>
          <w:szCs w:val="32"/>
          <w:lang w:val="en-US"/>
        </w:rPr>
        <w:t>975.10</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年度相比，财政拨款收入减少</w:t>
      </w:r>
      <w:r>
        <w:rPr>
          <w:rFonts w:hint="eastAsia" w:ascii="仿宋_GB2312" w:hAnsi="ˎ̥" w:eastAsia="仿宋_GB2312"/>
          <w:color w:val="auto"/>
          <w:sz w:val="32"/>
          <w:szCs w:val="32"/>
          <w:lang w:val="en-US" w:eastAsia="zh-CN"/>
        </w:rPr>
        <w:t>5.19</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0.5</w:t>
      </w:r>
      <w:r>
        <w:rPr>
          <w:rFonts w:hint="eastAsia" w:ascii="仿宋_GB2312" w:hAnsi="ˎ̥" w:eastAsia="仿宋_GB2312"/>
          <w:color w:val="auto"/>
          <w:sz w:val="32"/>
          <w:szCs w:val="32"/>
        </w:rPr>
        <w:t>%，主要原因：</w:t>
      </w:r>
      <w:r>
        <w:rPr>
          <w:rFonts w:hint="eastAsia" w:ascii="仿宋_GB2312" w:hAnsi="ˎ̥" w:eastAsia="仿宋_GB2312"/>
          <w:color w:val="auto"/>
          <w:sz w:val="32"/>
          <w:szCs w:val="32"/>
          <w:lang w:val="en-US" w:eastAsia="zh-CN"/>
        </w:rPr>
        <w:t>专项资金减少</w:t>
      </w:r>
      <w:r>
        <w:rPr>
          <w:rFonts w:hint="eastAsia" w:ascii="仿宋_GB2312" w:hAnsi="ˎ̥" w:eastAsia="仿宋_GB2312"/>
          <w:color w:val="auto"/>
          <w:sz w:val="32"/>
          <w:szCs w:val="32"/>
        </w:rPr>
        <w:t>。支出减少</w:t>
      </w:r>
      <w:r>
        <w:rPr>
          <w:rFonts w:hint="eastAsia" w:ascii="仿宋_GB2312" w:hAnsi="ˎ̥" w:eastAsia="仿宋_GB2312"/>
          <w:color w:val="auto"/>
          <w:sz w:val="32"/>
          <w:szCs w:val="32"/>
          <w:lang w:val="en-US" w:eastAsia="zh-CN"/>
        </w:rPr>
        <w:t>5.19</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0.5</w:t>
      </w:r>
      <w:r>
        <w:rPr>
          <w:rFonts w:hint="eastAsia" w:ascii="仿宋_GB2312" w:hAnsi="ˎ̥" w:eastAsia="仿宋_GB2312"/>
          <w:color w:val="auto"/>
          <w:sz w:val="32"/>
          <w:szCs w:val="32"/>
        </w:rPr>
        <w:t>%，主要原因：</w:t>
      </w:r>
      <w:r>
        <w:rPr>
          <w:rFonts w:hint="eastAsia" w:ascii="仿宋_GB2312" w:hAnsi="ˎ̥" w:eastAsia="仿宋_GB2312"/>
          <w:color w:val="auto"/>
          <w:sz w:val="32"/>
          <w:szCs w:val="32"/>
          <w:lang w:val="en-US" w:eastAsia="zh-CN"/>
        </w:rPr>
        <w:t>专项资金减少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财政拨款年初结转结余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w:t>
      </w:r>
      <w:r>
        <w:rPr>
          <w:rFonts w:hint="eastAsia" w:ascii="仿宋_GB2312" w:hAnsi="ˎ̥" w:eastAsia="仿宋_GB2312"/>
          <w:color w:val="auto"/>
          <w:sz w:val="32"/>
          <w:szCs w:val="32"/>
          <w:lang w:val="en-US" w:eastAsia="zh-CN"/>
        </w:rPr>
        <w:t>相同</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w:t>
      </w:r>
      <w:r>
        <w:rPr>
          <w:rFonts w:hint="eastAsia" w:ascii="仿宋_GB2312" w:hAnsi="ˎ̥" w:eastAsia="仿宋_GB2312"/>
          <w:color w:val="auto"/>
          <w:sz w:val="32"/>
          <w:szCs w:val="32"/>
          <w:lang w:val="en-US" w:eastAsia="zh-CN"/>
        </w:rPr>
        <w:t>相同</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79" w:name="_Toc17398_WPSOffice_Level2"/>
      <w:bookmarkStart w:id="80" w:name="_Toc19665_WPSOffice_Level2"/>
      <w:bookmarkStart w:id="81" w:name="_Toc21737_WPSOffice_Level2"/>
      <w:bookmarkStart w:id="82" w:name="_Toc13694_WPSOffice_Level2"/>
      <w:bookmarkStart w:id="83" w:name="_Toc9989_WPSOffice_Level2"/>
      <w:bookmarkStart w:id="84" w:name="_Toc23005_WPSOffice_Level2"/>
      <w:r>
        <w:rPr>
          <w:rFonts w:hint="eastAsia" w:ascii="楷体" w:hAnsi="楷体" w:eastAsia="楷体" w:cs="楷体"/>
          <w:color w:val="auto"/>
          <w:sz w:val="32"/>
          <w:szCs w:val="32"/>
        </w:rPr>
        <w:t>（一）一般公共预算财政拨款支出决算总体情况</w:t>
      </w:r>
      <w:bookmarkEnd w:id="79"/>
      <w:bookmarkEnd w:id="80"/>
      <w:bookmarkEnd w:id="81"/>
      <w:bookmarkEnd w:id="82"/>
      <w:bookmarkEnd w:id="83"/>
      <w:bookmarkEnd w:id="8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975.10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年度相比，一般公共预算财政拨款支出减少</w:t>
      </w:r>
      <w:r>
        <w:rPr>
          <w:rFonts w:hint="eastAsia" w:ascii="仿宋_GB2312" w:hAnsi="ˎ̥" w:eastAsia="仿宋_GB2312"/>
          <w:color w:val="auto"/>
          <w:sz w:val="32"/>
          <w:szCs w:val="32"/>
          <w:lang w:val="en-US" w:eastAsia="zh-CN"/>
        </w:rPr>
        <w:t>5.19</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0.5</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专项资金支出减少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85" w:name="_Toc23864_WPSOffice_Level2"/>
      <w:bookmarkStart w:id="86" w:name="_Toc27767_WPSOffice_Level2"/>
      <w:bookmarkStart w:id="87" w:name="_Toc19535_WPSOffice_Level2"/>
      <w:bookmarkStart w:id="88" w:name="_Toc19075_WPSOffice_Level2"/>
      <w:bookmarkStart w:id="89" w:name="_Toc2711_WPSOffice_Level2"/>
      <w:bookmarkStart w:id="90" w:name="_Toc18793_WPSOffice_Level2"/>
      <w:r>
        <w:rPr>
          <w:rFonts w:hint="eastAsia" w:ascii="楷体" w:hAnsi="楷体" w:eastAsia="楷体" w:cs="楷体"/>
          <w:color w:val="auto"/>
          <w:sz w:val="32"/>
          <w:szCs w:val="32"/>
        </w:rPr>
        <w:t>（二）一般公共预算财政拨款支出决算结构情况</w:t>
      </w:r>
      <w:bookmarkEnd w:id="85"/>
      <w:bookmarkEnd w:id="86"/>
      <w:bookmarkEnd w:id="87"/>
      <w:bookmarkEnd w:id="88"/>
      <w:bookmarkEnd w:id="89"/>
      <w:bookmarkEnd w:id="9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975.10</w:t>
      </w:r>
      <w:r>
        <w:rPr>
          <w:rFonts w:hint="eastAsia" w:ascii="仿宋_GB2312" w:hAnsi="ˎ̥" w:eastAsia="仿宋_GB2312"/>
          <w:color w:val="auto"/>
          <w:sz w:val="32"/>
          <w:szCs w:val="32"/>
        </w:rPr>
        <w:t>万元，主要用于以下方面：</w:t>
      </w:r>
      <w:r>
        <w:rPr>
          <w:rFonts w:hint="eastAsia" w:ascii="仿宋_GB2312" w:hAnsi="ˎ̥" w:eastAsia="仿宋_GB2312"/>
          <w:b/>
          <w:color w:val="auto"/>
          <w:sz w:val="32"/>
          <w:szCs w:val="32"/>
          <w:lang w:val="en-US" w:eastAsia="zh-CN"/>
        </w:rPr>
        <w:t>卫生健康</w:t>
      </w:r>
      <w:r>
        <w:rPr>
          <w:rFonts w:hint="eastAsia" w:ascii="仿宋_GB2312" w:hAnsi="ˎ̥" w:eastAsia="仿宋_GB2312"/>
          <w:b/>
          <w:color w:val="auto"/>
          <w:sz w:val="32"/>
          <w:szCs w:val="32"/>
        </w:rPr>
        <w:t>（类）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813.51</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83</w:t>
      </w:r>
      <w:r>
        <w:rPr>
          <w:rFonts w:hint="eastAsia" w:ascii="仿宋_GB2312" w:hAnsi="ˎ̥" w:eastAsia="仿宋_GB2312"/>
          <w:color w:val="auto"/>
          <w:sz w:val="32"/>
          <w:szCs w:val="32"/>
        </w:rPr>
        <w:t>%；</w:t>
      </w:r>
      <w:r>
        <w:rPr>
          <w:rFonts w:hint="eastAsia" w:ascii="仿宋_GB2312" w:hAnsi="ˎ̥" w:eastAsia="仿宋_GB2312"/>
          <w:b/>
          <w:color w:val="auto"/>
          <w:sz w:val="32"/>
          <w:szCs w:val="32"/>
        </w:rPr>
        <w:t>社会保障和就业（类）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93.25</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10</w:t>
      </w:r>
      <w:r>
        <w:rPr>
          <w:rFonts w:hint="eastAsia" w:ascii="仿宋_GB2312" w:hAnsi="ˎ̥" w:eastAsia="仿宋_GB2312"/>
          <w:color w:val="auto"/>
          <w:sz w:val="32"/>
          <w:szCs w:val="32"/>
        </w:rPr>
        <w:t>%；</w:t>
      </w:r>
      <w:r>
        <w:rPr>
          <w:rFonts w:hint="eastAsia" w:ascii="仿宋_GB2312" w:hAnsi="ˎ̥" w:eastAsia="仿宋_GB2312"/>
          <w:b/>
          <w:bCs/>
          <w:color w:val="auto"/>
          <w:sz w:val="32"/>
          <w:szCs w:val="32"/>
        </w:rPr>
        <w:t>住房保障（类）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68.34</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7</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91" w:name="_Toc29364_WPSOffice_Level2"/>
      <w:bookmarkStart w:id="92" w:name="_Toc22318_WPSOffice_Level2"/>
      <w:bookmarkStart w:id="93" w:name="_Toc15415_WPSOffice_Level2"/>
      <w:bookmarkStart w:id="94" w:name="_Toc25136_WPSOffice_Level2"/>
      <w:bookmarkStart w:id="95" w:name="_Toc21701_WPSOffice_Level2"/>
      <w:bookmarkStart w:id="96" w:name="_Toc9502_WPSOffice_Level2"/>
      <w:r>
        <w:rPr>
          <w:rFonts w:hint="eastAsia" w:ascii="楷体" w:hAnsi="楷体" w:eastAsia="楷体" w:cs="楷体"/>
          <w:color w:val="auto"/>
          <w:sz w:val="32"/>
          <w:szCs w:val="32"/>
        </w:rPr>
        <w:t>（三）一般公共预算财政拨款支出决算具体情况</w:t>
      </w:r>
      <w:bookmarkEnd w:id="91"/>
      <w:bookmarkEnd w:id="92"/>
      <w:bookmarkEnd w:id="93"/>
      <w:bookmarkEnd w:id="94"/>
      <w:bookmarkEnd w:id="95"/>
      <w:bookmarkEnd w:id="9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年度一般公共预算财政拨款支出年初预算为</w:t>
      </w:r>
      <w:r>
        <w:rPr>
          <w:rFonts w:hint="default" w:ascii="仿宋_GB2312" w:hAnsi="ˎ̥" w:eastAsia="仿宋_GB2312"/>
          <w:color w:val="auto"/>
          <w:sz w:val="32"/>
          <w:szCs w:val="32"/>
          <w:lang w:val="en-US"/>
        </w:rPr>
        <w:t>975.10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975.10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rPr>
        <w:t>1.</w:t>
      </w:r>
      <w:r>
        <w:rPr>
          <w:rFonts w:hint="eastAsia" w:ascii="仿宋_GB2312" w:hAnsi="ˎ̥" w:eastAsia="仿宋_GB2312"/>
          <w:b/>
          <w:color w:val="auto"/>
          <w:sz w:val="32"/>
          <w:szCs w:val="32"/>
          <w:lang w:val="en-US" w:eastAsia="zh-CN"/>
        </w:rPr>
        <w:t>卫生健康</w:t>
      </w:r>
      <w:r>
        <w:rPr>
          <w:rFonts w:hint="eastAsia" w:ascii="仿宋_GB2312" w:hAnsi="ˎ̥" w:eastAsia="仿宋_GB2312"/>
          <w:b/>
          <w:color w:val="auto"/>
          <w:sz w:val="32"/>
          <w:szCs w:val="32"/>
        </w:rPr>
        <w:t>（类）</w:t>
      </w:r>
      <w:r>
        <w:rPr>
          <w:rFonts w:hint="eastAsia" w:ascii="仿宋_GB2312" w:hAnsi="ˎ̥" w:eastAsia="仿宋_GB2312"/>
          <w:b/>
          <w:color w:val="auto"/>
          <w:sz w:val="32"/>
          <w:szCs w:val="32"/>
          <w:lang w:val="en-US" w:eastAsia="zh-CN"/>
        </w:rPr>
        <w:t>公立医院</w:t>
      </w:r>
      <w:r>
        <w:rPr>
          <w:rFonts w:hint="eastAsia" w:ascii="仿宋_GB2312" w:hAnsi="ˎ̥" w:eastAsia="仿宋_GB2312"/>
          <w:b/>
          <w:color w:val="auto"/>
          <w:sz w:val="32"/>
          <w:szCs w:val="32"/>
        </w:rPr>
        <w:t>（款）中医（民族）医院（项）。</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773.39</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773.39</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rPr>
        <w:t>2.</w:t>
      </w:r>
      <w:r>
        <w:rPr>
          <w:rFonts w:hint="eastAsia" w:ascii="仿宋_GB2312" w:hAnsi="ˎ̥" w:eastAsia="仿宋_GB2312"/>
          <w:b/>
          <w:color w:val="auto"/>
          <w:sz w:val="32"/>
          <w:szCs w:val="32"/>
          <w:lang w:val="en-US" w:eastAsia="zh-CN"/>
        </w:rPr>
        <w:t>卫生健康</w:t>
      </w:r>
      <w:r>
        <w:rPr>
          <w:rFonts w:hint="eastAsia" w:ascii="仿宋_GB2312" w:hAnsi="ˎ̥" w:eastAsia="仿宋_GB2312"/>
          <w:b/>
          <w:color w:val="auto"/>
          <w:sz w:val="32"/>
          <w:szCs w:val="32"/>
        </w:rPr>
        <w:t>（类）行政事业单位医疗（款）事业单位医疗（项）。</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40.12</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40.12</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w:t>
      </w:r>
      <w:r>
        <w:rPr>
          <w:rFonts w:hint="eastAsia" w:ascii="仿宋_GB2312" w:hAnsi="ˎ̥" w:eastAsia="仿宋_GB2312"/>
          <w:b/>
          <w:color w:val="auto"/>
          <w:sz w:val="32"/>
          <w:szCs w:val="32"/>
        </w:rPr>
        <w:t>社会保障和就业支出（类）行政事业单位养老支出（款）机关事业单位基本养老保险缴费支出（项）。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年初预算为83.3</w:t>
      </w:r>
      <w:r>
        <w:rPr>
          <w:rFonts w:hint="eastAsia" w:ascii="仿宋_GB2312" w:hAnsi="ˎ̥" w:eastAsia="仿宋_GB2312"/>
          <w:color w:val="auto"/>
          <w:sz w:val="32"/>
          <w:szCs w:val="32"/>
          <w:lang w:val="en-US" w:eastAsia="zh-CN"/>
        </w:rPr>
        <w:t>6</w:t>
      </w:r>
      <w:r>
        <w:rPr>
          <w:rFonts w:hint="eastAsia" w:ascii="仿宋_GB2312" w:hAnsi="ˎ̥" w:eastAsia="仿宋_GB2312"/>
          <w:color w:val="auto"/>
          <w:sz w:val="32"/>
          <w:szCs w:val="32"/>
        </w:rPr>
        <w:t>万元，支出决算为83.3</w:t>
      </w:r>
      <w:r>
        <w:rPr>
          <w:rFonts w:hint="eastAsia" w:ascii="仿宋_GB2312" w:hAnsi="ˎ̥" w:eastAsia="仿宋_GB2312"/>
          <w:color w:val="auto"/>
          <w:sz w:val="32"/>
          <w:szCs w:val="32"/>
          <w:lang w:val="en-US" w:eastAsia="zh-CN"/>
        </w:rPr>
        <w:t>6</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lang w:val="en-US" w:eastAsia="zh-CN"/>
        </w:rPr>
        <w:t>4</w:t>
      </w:r>
      <w:r>
        <w:rPr>
          <w:rFonts w:hint="eastAsia" w:ascii="仿宋_GB2312" w:hAnsi="ˎ̥" w:eastAsia="仿宋_GB2312"/>
          <w:color w:val="auto"/>
          <w:sz w:val="32"/>
          <w:szCs w:val="32"/>
        </w:rPr>
        <w:t>.</w:t>
      </w:r>
      <w:r>
        <w:rPr>
          <w:rFonts w:hint="eastAsia" w:ascii="仿宋_GB2312" w:hAnsi="ˎ̥" w:eastAsia="仿宋_GB2312"/>
          <w:b/>
          <w:color w:val="auto"/>
          <w:sz w:val="32"/>
          <w:szCs w:val="32"/>
        </w:rPr>
        <w:t>社会保障和就业支出（类）就业补助（款）公益性岗位补贴（项）。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年初预算为9.89万元，支出决算为9.89万元，完成年初预算的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lang w:val="en-US" w:eastAsia="zh-CN"/>
        </w:rPr>
        <w:t>5</w:t>
      </w:r>
      <w:r>
        <w:rPr>
          <w:rFonts w:hint="eastAsia" w:ascii="仿宋_GB2312" w:hAnsi="ˎ̥" w:eastAsia="仿宋_GB2312"/>
          <w:color w:val="auto"/>
          <w:sz w:val="32"/>
          <w:szCs w:val="32"/>
        </w:rPr>
        <w:t>.</w:t>
      </w:r>
      <w:r>
        <w:rPr>
          <w:rFonts w:hint="eastAsia" w:ascii="仿宋_GB2312" w:hAnsi="ˎ̥" w:eastAsia="仿宋_GB2312"/>
          <w:b/>
          <w:color w:val="auto"/>
          <w:sz w:val="32"/>
          <w:szCs w:val="32"/>
        </w:rPr>
        <w:t>住房保障支出（类）住房改革支出（款）住房公积金（项）。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年初预算为68.34万元，支出决算为68.34万元，完成年初预算的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color w:val="auto"/>
          <w:sz w:val="32"/>
          <w:szCs w:val="32"/>
        </w:rPr>
      </w:pPr>
      <w:r>
        <w:rPr>
          <w:rFonts w:hint="eastAsia" w:ascii="黑体" w:hAnsi="黑体" w:eastAsia="黑体" w:cs="黑体"/>
          <w:bCs/>
          <w:color w:val="auto"/>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年度财政拨款基本支出</w:t>
      </w:r>
      <w:r>
        <w:rPr>
          <w:rFonts w:hint="eastAsia" w:ascii="仿宋_GB2312" w:hAnsi="ˎ̥" w:eastAsia="仿宋_GB2312"/>
          <w:color w:val="auto"/>
          <w:sz w:val="32"/>
          <w:szCs w:val="32"/>
          <w:lang w:val="en-US"/>
        </w:rPr>
        <w:t>877.67</w:t>
      </w:r>
      <w:r>
        <w:rPr>
          <w:rFonts w:hint="eastAsia" w:ascii="仿宋_GB2312" w:hAnsi="ˎ̥" w:eastAsia="仿宋_GB2312"/>
          <w:color w:val="auto"/>
          <w:sz w:val="32"/>
          <w:szCs w:val="32"/>
        </w:rPr>
        <w:t>万元，其中：人员经费</w:t>
      </w:r>
      <w:r>
        <w:rPr>
          <w:rFonts w:ascii="仿宋_GB2312" w:hAnsi="ˎ̥" w:eastAsia="仿宋_GB2312"/>
          <w:color w:val="auto"/>
          <w:sz w:val="32"/>
          <w:szCs w:val="32"/>
          <w:lang w:val="en-US"/>
        </w:rPr>
        <w:t>838.15</w:t>
      </w:r>
      <w:r>
        <w:rPr>
          <w:rFonts w:hint="eastAsia" w:ascii="仿宋_GB2312" w:hAnsi="ˎ̥" w:eastAsia="仿宋_GB2312"/>
          <w:color w:val="auto"/>
          <w:sz w:val="32"/>
          <w:szCs w:val="32"/>
        </w:rPr>
        <w:t>万元，主要包括：工资福利支出中的基本工资、津贴补贴、奖金、伙食补助费、绩效工资、机关事业单位基本养老保险缴费、职工基本医疗保险缴费、其他社会保障缴费、住房公积金、医疗费、其他工资福利支出；对个人和家庭的补助中生活补助。公用经费</w:t>
      </w:r>
      <w:r>
        <w:rPr>
          <w:rFonts w:ascii="仿宋_GB2312" w:hAnsi="ˎ̥" w:eastAsia="仿宋_GB2312"/>
          <w:color w:val="auto"/>
          <w:sz w:val="32"/>
          <w:szCs w:val="32"/>
          <w:lang w:val="en-US"/>
        </w:rPr>
        <w:t>39.52</w:t>
      </w:r>
      <w:r>
        <w:rPr>
          <w:rFonts w:hint="eastAsia" w:ascii="仿宋_GB2312" w:hAnsi="ˎ̥" w:eastAsia="仿宋_GB2312"/>
          <w:color w:val="auto"/>
          <w:sz w:val="32"/>
          <w:szCs w:val="32"/>
        </w:rPr>
        <w:t>万元，主要包括：商品和服务支出中的办公费、差旅费、公务用车运行维护费</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残疾人就业保障金</w:t>
      </w:r>
      <w:r>
        <w:rPr>
          <w:rFonts w:hint="eastAsia" w:ascii="仿宋_GB2312" w:hAnsi="ˎ̥" w:eastAsia="仿宋_GB2312"/>
          <w:color w:val="auto"/>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（三）政府性基金预算财政拨款支出决算具体情况</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eastAsia="zh-CN"/>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年度政府性基金预算财政拨款支出年初预算为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（三）国有资本经营预算财政拨款支出决算具体情况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eastAsia="zh-CN"/>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年度国有资本经营预算财政拨款支出年初预算为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color w:val="auto"/>
          <w:sz w:val="32"/>
          <w:szCs w:val="32"/>
        </w:rPr>
      </w:pPr>
      <w:r>
        <w:rPr>
          <w:rFonts w:hint="eastAsia" w:ascii="黑体" w:hAnsi="黑体" w:eastAsia="黑体" w:cs="黑体"/>
          <w:bCs/>
          <w:color w:val="auto"/>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年度财政拨款“三公”经费支出预算为</w:t>
      </w:r>
      <w:r>
        <w:rPr>
          <w:rFonts w:hint="default" w:ascii="仿宋_GB2312" w:hAnsi="ˎ̥" w:eastAsia="仿宋_GB2312"/>
          <w:color w:val="auto"/>
          <w:sz w:val="32"/>
          <w:szCs w:val="32"/>
          <w:lang w:val="en-US"/>
        </w:rPr>
        <w:t>3.67</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3.67</w:t>
      </w:r>
      <w:r>
        <w:rPr>
          <w:rFonts w:hint="eastAsia" w:ascii="仿宋_GB2312" w:hAnsi="ˎ̥" w:eastAsia="仿宋_GB2312"/>
          <w:color w:val="auto"/>
          <w:sz w:val="32"/>
          <w:szCs w:val="32"/>
        </w:rPr>
        <w:t>万元，完成预算的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r>
        <w:rPr>
          <w:rFonts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“三公”经费支出减少</w:t>
      </w:r>
      <w:r>
        <w:rPr>
          <w:rFonts w:hint="eastAsia" w:ascii="仿宋_GB2312" w:hAnsi="ˎ̥" w:eastAsia="仿宋_GB2312"/>
          <w:color w:val="auto"/>
          <w:sz w:val="32"/>
          <w:szCs w:val="32"/>
          <w:lang w:val="en-US" w:eastAsia="zh-CN"/>
        </w:rPr>
        <w:t>0.59</w:t>
      </w:r>
      <w:r>
        <w:rPr>
          <w:rFonts w:hint="eastAsia" w:ascii="仿宋_GB2312" w:hAnsi="ˎ̥" w:eastAsia="仿宋_GB2312"/>
          <w:color w:val="auto"/>
          <w:sz w:val="32"/>
          <w:szCs w:val="32"/>
        </w:rPr>
        <w:t>万元</w:t>
      </w:r>
      <w:r>
        <w:rPr>
          <w:rFonts w:ascii="仿宋_GB2312" w:hAnsi="ˎ̥" w:eastAsia="仿宋_GB2312"/>
          <w:color w:val="auto"/>
          <w:sz w:val="32"/>
          <w:szCs w:val="32"/>
        </w:rPr>
        <w:t>，</w:t>
      </w:r>
      <w:r>
        <w:rPr>
          <w:rFonts w:hint="eastAsia" w:ascii="仿宋_GB2312" w:hAnsi="ˎ̥" w:eastAsia="仿宋_GB2312"/>
          <w:color w:val="auto"/>
          <w:sz w:val="32"/>
          <w:szCs w:val="32"/>
        </w:rPr>
        <w:t>下降</w:t>
      </w:r>
      <w:r>
        <w:rPr>
          <w:rFonts w:hint="eastAsia" w:ascii="仿宋_GB2312" w:hAnsi="ˎ̥" w:eastAsia="仿宋_GB2312"/>
          <w:color w:val="auto"/>
          <w:sz w:val="32"/>
          <w:szCs w:val="32"/>
          <w:lang w:val="en-US" w:eastAsia="zh-CN"/>
        </w:rPr>
        <w:t>13.85</w:t>
      </w:r>
      <w:r>
        <w:rPr>
          <w:rFonts w:hint="eastAsia" w:ascii="仿宋_GB2312" w:hAnsi="ˎ̥" w:eastAsia="仿宋_GB2312"/>
          <w:color w:val="auto"/>
          <w:sz w:val="32"/>
          <w:szCs w:val="32"/>
        </w:rPr>
        <w:t>%，</w:t>
      </w:r>
      <w:r>
        <w:rPr>
          <w:rFonts w:ascii="仿宋_GB2312" w:hAnsi="ˎ̥" w:eastAsia="仿宋_GB2312"/>
          <w:color w:val="auto"/>
          <w:sz w:val="32"/>
          <w:szCs w:val="32"/>
        </w:rPr>
        <w:t>主要原因是</w:t>
      </w:r>
      <w:r>
        <w:rPr>
          <w:rFonts w:hint="eastAsia" w:ascii="仿宋_GB2312" w:hAnsi="ˎ̥" w:eastAsia="仿宋_GB2312"/>
          <w:color w:val="auto"/>
          <w:sz w:val="32"/>
          <w:szCs w:val="32"/>
          <w:lang w:val="en-US" w:eastAsia="zh-CN"/>
        </w:rPr>
        <w:t>公车数量减少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color w:val="auto"/>
          <w:sz w:val="32"/>
          <w:szCs w:val="32"/>
        </w:rPr>
      </w:pPr>
      <w:r>
        <w:rPr>
          <w:rFonts w:hint="eastAsia" w:ascii="楷体" w:hAnsi="楷体" w:eastAsia="楷体" w:cs="楷体"/>
          <w:b/>
          <w:bCs/>
          <w:color w:val="auto"/>
          <w:sz w:val="32"/>
          <w:szCs w:val="32"/>
        </w:rPr>
        <w:t xml:space="preserve">   </w:t>
      </w:r>
      <w:r>
        <w:rPr>
          <w:rFonts w:hint="eastAsia" w:ascii="楷体" w:hAnsi="楷体" w:eastAsia="楷体" w:cs="楷体"/>
          <w:color w:val="auto"/>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年度财政拨款“三公”经费支出决算中，公务用车购置及运行维护费支出决算</w:t>
      </w:r>
      <w:r>
        <w:rPr>
          <w:rFonts w:hint="default" w:ascii="仿宋_GB2312" w:hAnsi="ˎ̥" w:eastAsia="仿宋_GB2312"/>
          <w:color w:val="auto"/>
          <w:sz w:val="32"/>
          <w:szCs w:val="32"/>
          <w:lang w:val="en-US"/>
        </w:rPr>
        <w:t>3.67</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公务用车购置及运行维护费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3.67</w:t>
      </w:r>
      <w:r>
        <w:rPr>
          <w:rFonts w:hint="eastAsia" w:ascii="仿宋_GB2312" w:hAnsi="ˎ̥" w:eastAsia="仿宋_GB2312"/>
          <w:color w:val="auto"/>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公务用车购置</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万元，全年购置公务用车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公务用车运行维护费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3.67</w:t>
      </w:r>
      <w:r>
        <w:rPr>
          <w:rFonts w:hint="eastAsia" w:ascii="仿宋_GB2312" w:hAnsi="ˎ̥" w:eastAsia="仿宋_GB2312"/>
          <w:color w:val="auto"/>
          <w:sz w:val="32"/>
          <w:szCs w:val="32"/>
        </w:rPr>
        <w:t>万元，主要用于</w:t>
      </w:r>
      <w:r>
        <w:rPr>
          <w:rFonts w:hint="eastAsia" w:ascii="仿宋_GB2312" w:hAnsi="ˎ̥" w:eastAsia="仿宋_GB2312"/>
          <w:color w:val="auto"/>
          <w:sz w:val="32"/>
          <w:szCs w:val="32"/>
          <w:lang w:val="en-US" w:eastAsia="zh-CN"/>
        </w:rPr>
        <w:t>公车年检，车辆保险以及车辆维修等</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Cs/>
          <w:color w:val="auto"/>
          <w:sz w:val="32"/>
          <w:szCs w:val="32"/>
        </w:rPr>
      </w:pPr>
      <w:r>
        <w:rPr>
          <w:rFonts w:hint="eastAsia" w:ascii="仿宋_GB2312" w:hAnsi="ˎ̥" w:eastAsia="仿宋_GB2312"/>
          <w:bCs/>
          <w:color w:val="auto"/>
          <w:sz w:val="32"/>
          <w:szCs w:val="32"/>
        </w:rPr>
        <w:t>公务用车购置及运行维护费支出决算数</w:t>
      </w:r>
      <w:r>
        <w:rPr>
          <w:rFonts w:hint="eastAsia" w:ascii="仿宋_GB2312" w:hAnsi="ˎ̥" w:eastAsia="仿宋_GB2312"/>
          <w:color w:val="auto"/>
          <w:sz w:val="32"/>
          <w:szCs w:val="32"/>
          <w:lang w:val="en-US" w:eastAsia="zh-CN"/>
        </w:rPr>
        <w:t>与</w:t>
      </w:r>
      <w:r>
        <w:rPr>
          <w:rFonts w:hint="eastAsia" w:ascii="仿宋_GB2312" w:hAnsi="ˎ̥" w:eastAsia="仿宋_GB2312"/>
          <w:color w:val="auto"/>
          <w:sz w:val="32"/>
          <w:szCs w:val="32"/>
        </w:rPr>
        <w:t>预算数</w:t>
      </w:r>
      <w:r>
        <w:rPr>
          <w:rFonts w:hint="eastAsia" w:ascii="仿宋_GB2312" w:hAnsi="ˎ̥" w:eastAsia="仿宋_GB2312"/>
          <w:color w:val="auto"/>
          <w:sz w:val="32"/>
          <w:szCs w:val="32"/>
          <w:lang w:val="en-US" w:eastAsia="zh-CN"/>
        </w:rPr>
        <w:t>相同</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完成预算的100</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bCs/>
          <w:color w:val="auto"/>
          <w:sz w:val="32"/>
          <w:szCs w:val="32"/>
        </w:rPr>
        <w:t>公务用车购置及运行维护费</w:t>
      </w:r>
      <w:r>
        <w:rPr>
          <w:rFonts w:hint="eastAsia" w:ascii="仿宋_GB2312" w:hAnsi="ˎ̥" w:eastAsia="仿宋_GB2312"/>
          <w:color w:val="auto"/>
          <w:sz w:val="32"/>
          <w:szCs w:val="32"/>
        </w:rPr>
        <w:t>支出减少</w:t>
      </w:r>
      <w:r>
        <w:rPr>
          <w:rFonts w:hint="eastAsia" w:ascii="仿宋_GB2312" w:hAnsi="ˎ̥" w:eastAsia="仿宋_GB2312"/>
          <w:color w:val="auto"/>
          <w:sz w:val="32"/>
          <w:szCs w:val="32"/>
          <w:lang w:val="en-US" w:eastAsia="zh-CN"/>
        </w:rPr>
        <w:t>0.59</w:t>
      </w:r>
      <w:r>
        <w:rPr>
          <w:rFonts w:hint="eastAsia" w:ascii="仿宋_GB2312" w:hAnsi="ˎ̥" w:eastAsia="仿宋_GB2312"/>
          <w:color w:val="auto"/>
          <w:sz w:val="32"/>
          <w:szCs w:val="32"/>
        </w:rPr>
        <w:t>万元</w:t>
      </w:r>
      <w:r>
        <w:rPr>
          <w:rFonts w:ascii="仿宋_GB2312" w:hAnsi="ˎ̥" w:eastAsia="仿宋_GB2312"/>
          <w:color w:val="auto"/>
          <w:sz w:val="32"/>
          <w:szCs w:val="32"/>
        </w:rPr>
        <w:t>，</w:t>
      </w:r>
      <w:r>
        <w:rPr>
          <w:rFonts w:hint="eastAsia" w:ascii="仿宋_GB2312" w:hAnsi="ˎ̥" w:eastAsia="仿宋_GB2312"/>
          <w:color w:val="auto"/>
          <w:sz w:val="32"/>
          <w:szCs w:val="32"/>
        </w:rPr>
        <w:t>下降</w:t>
      </w:r>
      <w:r>
        <w:rPr>
          <w:rFonts w:hint="eastAsia" w:ascii="仿宋_GB2312" w:hAnsi="ˎ̥" w:eastAsia="仿宋_GB2312"/>
          <w:color w:val="auto"/>
          <w:sz w:val="32"/>
          <w:szCs w:val="32"/>
          <w:lang w:val="en-US" w:eastAsia="zh-CN"/>
        </w:rPr>
        <w:t>13.85</w:t>
      </w:r>
      <w:r>
        <w:rPr>
          <w:rFonts w:hint="eastAsia" w:ascii="仿宋_GB2312" w:hAnsi="ˎ̥" w:eastAsia="仿宋_GB2312"/>
          <w:color w:val="auto"/>
          <w:sz w:val="32"/>
          <w:szCs w:val="32"/>
        </w:rPr>
        <w:t>%，</w:t>
      </w:r>
      <w:r>
        <w:rPr>
          <w:rFonts w:ascii="仿宋_GB2312" w:hAnsi="ˎ̥" w:eastAsia="仿宋_GB2312"/>
          <w:color w:val="auto"/>
          <w:sz w:val="32"/>
          <w:szCs w:val="32"/>
        </w:rPr>
        <w:t>主要原因是</w:t>
      </w:r>
      <w:r>
        <w:rPr>
          <w:rFonts w:hint="eastAsia" w:ascii="仿宋_GB2312" w:hAnsi="ˎ̥" w:eastAsia="仿宋_GB2312"/>
          <w:color w:val="auto"/>
          <w:sz w:val="32"/>
          <w:szCs w:val="32"/>
          <w:lang w:val="en-US" w:eastAsia="zh-CN"/>
        </w:rPr>
        <w:t>公车数量减少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eastAsia="仿宋_GB2312"/>
          <w:color w:val="auto"/>
          <w:sz w:val="32"/>
          <w:szCs w:val="32"/>
          <w:lang w:val="en-US" w:eastAsia="zh-CN"/>
        </w:rPr>
      </w:pPr>
      <w:r>
        <w:rPr>
          <w:rFonts w:hint="eastAsia" w:ascii="仿宋_GB2312" w:eastAsia="仿宋_GB2312"/>
          <w:color w:val="auto"/>
          <w:sz w:val="32"/>
          <w:szCs w:val="32"/>
          <w:lang w:val="en-US" w:eastAsia="zh-CN"/>
        </w:rPr>
        <w:t>2024年度我单位未进行绩效自评工作。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下一步改进措施：一是</w:t>
      </w:r>
      <w:r>
        <w:rPr>
          <w:rFonts w:hint="eastAsia" w:ascii="仿宋_GB2312" w:eastAsia="仿宋_GB2312"/>
          <w:color w:val="auto"/>
          <w:sz w:val="32"/>
          <w:szCs w:val="32"/>
          <w:lang w:val="en-US" w:eastAsia="zh-CN"/>
        </w:rPr>
        <w:t>强化责任意识</w:t>
      </w:r>
      <w:r>
        <w:rPr>
          <w:rFonts w:hint="eastAsia" w:ascii="仿宋_GB2312" w:eastAsia="仿宋_GB2312"/>
          <w:color w:val="auto"/>
          <w:sz w:val="32"/>
          <w:szCs w:val="32"/>
        </w:rPr>
        <w:t>；二是</w:t>
      </w:r>
      <w:r>
        <w:rPr>
          <w:rFonts w:hint="eastAsia" w:ascii="仿宋_GB2312" w:eastAsia="仿宋_GB2312"/>
          <w:color w:val="auto"/>
          <w:sz w:val="32"/>
          <w:szCs w:val="32"/>
          <w:lang w:val="en-US" w:eastAsia="zh-CN"/>
        </w:rPr>
        <w:t>完善工作制度；三是加强业务培训；四是建立预警机制；五是严格考核问责</w:t>
      </w:r>
      <w:r>
        <w:rPr>
          <w:rFonts w:hint="eastAsia" w:ascii="仿宋_GB2312"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97" w:name="_Toc5978_WPSOffice_Level2"/>
      <w:bookmarkStart w:id="98" w:name="_Toc15565_WPSOffice_Level2"/>
      <w:bookmarkStart w:id="99" w:name="_Toc18325_WPSOffice_Level2"/>
      <w:bookmarkStart w:id="100" w:name="_Toc23598_WPSOffice_Level2"/>
      <w:bookmarkStart w:id="101" w:name="_Toc15262_WPSOffice_Level2"/>
      <w:bookmarkStart w:id="102" w:name="_Toc32639_WPSOffice_Level2"/>
      <w:r>
        <w:rPr>
          <w:rFonts w:hint="eastAsia" w:ascii="楷体" w:hAnsi="楷体" w:eastAsia="楷体" w:cs="楷体"/>
          <w:bCs/>
          <w:color w:val="auto"/>
          <w:sz w:val="32"/>
          <w:szCs w:val="32"/>
        </w:rPr>
        <w:t>（一）机关运行经费支出情况</w:t>
      </w:r>
      <w:bookmarkEnd w:id="97"/>
      <w:bookmarkEnd w:id="98"/>
      <w:bookmarkEnd w:id="99"/>
      <w:bookmarkEnd w:id="100"/>
      <w:bookmarkEnd w:id="101"/>
      <w:bookmarkEnd w:id="10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val="en-US" w:eastAsia="zh-CN"/>
        </w:rPr>
        <w:t>申扎县藏医院</w:t>
      </w:r>
      <w:r>
        <w:rPr>
          <w:rFonts w:hint="eastAsia" w:ascii="仿宋_GB2312" w:hAnsi="ˎ̥" w:eastAsia="仿宋_GB2312"/>
          <w:color w:val="auto"/>
          <w:sz w:val="32"/>
          <w:szCs w:val="32"/>
        </w:rPr>
        <w:t>机关运行经费</w:t>
      </w:r>
      <w:r>
        <w:rPr>
          <w:rFonts w:hint="eastAsia" w:ascii="仿宋_GB2312" w:hAnsi="ˎ̥" w:eastAsia="仿宋_GB2312"/>
          <w:color w:val="auto"/>
          <w:sz w:val="32"/>
          <w:szCs w:val="32"/>
          <w:lang w:val="en-US" w:eastAsia="zh-CN"/>
        </w:rPr>
        <w:t>15.89</w:t>
      </w:r>
      <w:r>
        <w:rPr>
          <w:rFonts w:hint="eastAsia" w:ascii="仿宋_GB2312" w:hAnsi="ˎ̥" w:eastAsia="仿宋_GB2312"/>
          <w:color w:val="auto"/>
          <w:sz w:val="32"/>
          <w:szCs w:val="32"/>
        </w:rPr>
        <w:t>万元，比年初预算</w:t>
      </w:r>
      <w:r>
        <w:rPr>
          <w:rFonts w:hint="eastAsia" w:ascii="仿宋_GB2312" w:hAnsi="ˎ̥" w:eastAsia="仿宋_GB2312"/>
          <w:color w:val="auto"/>
          <w:sz w:val="32"/>
          <w:szCs w:val="32"/>
          <w:lang w:val="en-US" w:eastAsia="zh-CN"/>
        </w:rPr>
        <w:t>减少0.64</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完成预算的96.13</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与2023年度相比，机关运行经费</w:t>
      </w:r>
      <w:r>
        <w:rPr>
          <w:rFonts w:hint="eastAsia" w:ascii="仿宋_GB2312" w:hAnsi="ˎ̥" w:eastAsia="仿宋_GB2312"/>
          <w:color w:val="auto"/>
          <w:sz w:val="32"/>
          <w:szCs w:val="32"/>
        </w:rPr>
        <w:t>减少</w:t>
      </w:r>
      <w:r>
        <w:rPr>
          <w:rFonts w:hint="eastAsia" w:ascii="仿宋_GB2312" w:hAnsi="ˎ̥" w:eastAsia="仿宋_GB2312"/>
          <w:color w:val="auto"/>
          <w:sz w:val="32"/>
          <w:szCs w:val="32"/>
          <w:lang w:val="en-US" w:eastAsia="zh-CN"/>
        </w:rPr>
        <w:t>1.18</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下降6.91%。</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bidi="ar"/>
        </w:rPr>
        <w:t>办公设施设备购置经费减少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03" w:name="_Toc3131_WPSOffice_Level2"/>
      <w:bookmarkStart w:id="104" w:name="_Toc23966_WPSOffice_Level2"/>
      <w:bookmarkStart w:id="105" w:name="_Toc13084_WPSOffice_Level2"/>
      <w:bookmarkStart w:id="106" w:name="_Toc25333_WPSOffice_Level2"/>
      <w:bookmarkStart w:id="107" w:name="_Toc32689_WPSOffice_Level2"/>
      <w:bookmarkStart w:id="108" w:name="_Toc30383_WPSOffice_Level2"/>
      <w:r>
        <w:rPr>
          <w:rFonts w:hint="eastAsia" w:ascii="楷体" w:hAnsi="楷体" w:eastAsia="楷体" w:cs="楷体"/>
          <w:bCs/>
          <w:color w:val="auto"/>
          <w:sz w:val="32"/>
          <w:szCs w:val="32"/>
        </w:rPr>
        <w:t>（二）政府采购支出情况</w:t>
      </w:r>
      <w:bookmarkEnd w:id="103"/>
      <w:bookmarkEnd w:id="104"/>
      <w:bookmarkEnd w:id="105"/>
      <w:bookmarkEnd w:id="106"/>
      <w:bookmarkEnd w:id="107"/>
      <w:bookmarkEnd w:id="10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color w:val="auto"/>
          <w:sz w:val="32"/>
          <w:szCs w:val="32"/>
          <w:lang w:eastAsia="zh-CN"/>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val="en-US" w:eastAsia="zh-CN"/>
        </w:rPr>
        <w:t>申扎县藏医院</w:t>
      </w:r>
      <w:r>
        <w:rPr>
          <w:rFonts w:hint="eastAsia" w:ascii="仿宋_GB2312" w:hAnsi="ˎ̥" w:eastAsia="仿宋_GB2312"/>
          <w:color w:val="auto"/>
          <w:sz w:val="32"/>
          <w:szCs w:val="32"/>
        </w:rPr>
        <w:t>政府采购支出总额</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09" w:name="_Toc29584_WPSOffice_Level2"/>
      <w:bookmarkStart w:id="110" w:name="_Toc527_WPSOffice_Level2"/>
      <w:bookmarkStart w:id="111" w:name="_Toc10902_WPSOffice_Level2"/>
      <w:bookmarkStart w:id="112" w:name="_Toc19989_WPSOffice_Level2"/>
      <w:bookmarkStart w:id="113" w:name="_Toc15129_WPSOffice_Level2"/>
      <w:bookmarkStart w:id="114" w:name="_Toc6016_WPSOffice_Level2"/>
      <w:r>
        <w:rPr>
          <w:rFonts w:hint="eastAsia" w:ascii="楷体" w:hAnsi="楷体" w:eastAsia="楷体" w:cs="楷体"/>
          <w:bCs/>
          <w:color w:val="auto"/>
          <w:sz w:val="32"/>
          <w:szCs w:val="32"/>
        </w:rPr>
        <w:t>（三）国有资产占用情况</w:t>
      </w:r>
      <w:bookmarkEnd w:id="109"/>
      <w:bookmarkEnd w:id="110"/>
      <w:bookmarkEnd w:id="111"/>
      <w:bookmarkEnd w:id="112"/>
      <w:bookmarkEnd w:id="113"/>
      <w:bookmarkEnd w:id="11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bCs/>
          <w:color w:val="auto"/>
          <w:sz w:val="32"/>
          <w:szCs w:val="32"/>
        </w:rPr>
        <w:t>截至</w:t>
      </w:r>
      <w:r>
        <w:rPr>
          <w:rFonts w:hint="default" w:ascii="仿宋_GB2312" w:hAnsi="ˎ̥" w:eastAsia="仿宋_GB2312"/>
          <w:bCs/>
          <w:color w:val="auto"/>
          <w:sz w:val="32"/>
          <w:szCs w:val="32"/>
          <w:lang w:val="en-US"/>
        </w:rPr>
        <w:t>2024</w:t>
      </w:r>
      <w:r>
        <w:rPr>
          <w:rFonts w:hint="eastAsia" w:ascii="仿宋_GB2312" w:hAnsi="ˎ̥" w:eastAsia="仿宋_GB2312"/>
          <w:bCs/>
          <w:color w:val="auto"/>
          <w:sz w:val="32"/>
          <w:szCs w:val="32"/>
        </w:rPr>
        <w:t>年12月31日，本部门拥有</w:t>
      </w:r>
      <w:r>
        <w:rPr>
          <w:rFonts w:hint="eastAsia" w:ascii="仿宋_GB2312" w:hAnsi="ˎ̥" w:eastAsia="仿宋_GB2312"/>
          <w:color w:val="auto"/>
          <w:sz w:val="32"/>
          <w:szCs w:val="32"/>
        </w:rPr>
        <w:t>房屋面积</w:t>
      </w:r>
      <w:r>
        <w:rPr>
          <w:rFonts w:hint="eastAsia" w:ascii="仿宋_GB2312" w:hAnsi="ˎ̥" w:eastAsia="仿宋_GB2312"/>
          <w:color w:val="auto"/>
          <w:sz w:val="32"/>
          <w:szCs w:val="32"/>
          <w:lang w:val="en-US" w:eastAsia="zh-CN"/>
        </w:rPr>
        <w:t>10810</w:t>
      </w:r>
      <w:r>
        <w:rPr>
          <w:rFonts w:hint="eastAsia" w:ascii="仿宋_GB2312" w:hAnsi="ˎ̥" w:eastAsia="仿宋_GB2312"/>
          <w:color w:val="auto"/>
          <w:sz w:val="32"/>
          <w:szCs w:val="32"/>
        </w:rPr>
        <w:t>平方米</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auto"/>
          <w:sz w:val="32"/>
          <w:szCs w:val="32"/>
          <w:lang w:val="en-US" w:eastAsia="zh-CN"/>
        </w:rPr>
      </w:pPr>
      <w:r>
        <w:rPr>
          <w:rFonts w:hint="eastAsia" w:ascii="仿宋_GB2312" w:hAnsi="ˎ̥" w:eastAsia="仿宋_GB2312"/>
          <w:color w:val="auto"/>
          <w:sz w:val="32"/>
          <w:szCs w:val="32"/>
        </w:rPr>
        <w:t>本部门共有车辆</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辆，其中，特种专业技术用车</w:t>
      </w:r>
      <w:r>
        <w:rPr>
          <w:rFonts w:hint="eastAsia" w:ascii="仿宋_GB2312" w:hAnsi="ˎ̥" w:eastAsia="仿宋_GB2312"/>
          <w:color w:val="auto"/>
          <w:sz w:val="32"/>
          <w:szCs w:val="32"/>
          <w:lang w:val="en-US" w:eastAsia="zh-CN"/>
        </w:rPr>
        <w:t>2</w:t>
      </w:r>
      <w:r>
        <w:rPr>
          <w:rFonts w:hint="eastAsia" w:ascii="仿宋_GB2312" w:hAnsi="ˎ̥" w:eastAsia="仿宋_GB2312"/>
          <w:color w:val="auto"/>
          <w:sz w:val="32"/>
          <w:szCs w:val="32"/>
        </w:rPr>
        <w:t>辆、</w:t>
      </w:r>
      <w:r>
        <w:rPr>
          <w:rFonts w:hint="eastAsia" w:ascii="仿宋_GB2312" w:hAnsi="ˎ̥" w:eastAsia="仿宋_GB2312"/>
          <w:color w:val="auto"/>
          <w:sz w:val="32"/>
          <w:szCs w:val="32"/>
          <w:lang w:val="en-US" w:eastAsia="zh-CN"/>
        </w:rPr>
        <w:t>公务用车1辆</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单价100万元（含）以上设备（不含车辆）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台（套）。</w:t>
      </w:r>
    </w:p>
    <w:p>
      <w:pPr>
        <w:rPr>
          <w:rFonts w:hint="eastAsia" w:ascii="黑体" w:hAnsi="ˎ̥" w:eastAsia="黑体"/>
          <w:color w:val="auto"/>
          <w:sz w:val="32"/>
          <w:szCs w:val="32"/>
        </w:rPr>
      </w:pPr>
      <w:bookmarkStart w:id="115" w:name="_Toc8874_WPSOffice_Level1"/>
      <w:bookmarkStart w:id="116" w:name="_Toc4398_WPSOffice_Level1"/>
      <w:bookmarkStart w:id="117" w:name="_Toc17580_WPSOffice_Level1"/>
      <w:bookmarkStart w:id="118" w:name="_Toc8808_WPSOffice_Level1"/>
      <w:bookmarkStart w:id="119" w:name="_Toc15425_WPSOffice_Level1"/>
      <w:bookmarkStart w:id="120" w:name="_Toc11039_WPSOffice_Level1"/>
      <w:r>
        <w:rPr>
          <w:rFonts w:hint="eastAsia" w:ascii="黑体" w:hAnsi="ˎ̥" w:eastAsia="黑体"/>
          <w:color w:val="auto"/>
          <w:sz w:val="32"/>
          <w:szCs w:val="32"/>
        </w:rPr>
        <w:br w:type="page"/>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r>
        <w:rPr>
          <w:rFonts w:hint="eastAsia" w:ascii="黑体" w:hAnsi="ˎ̥" w:eastAsia="黑体"/>
          <w:color w:val="auto"/>
          <w:sz w:val="32"/>
          <w:szCs w:val="32"/>
        </w:rPr>
        <w:t>第四部分  名词解释</w:t>
      </w:r>
      <w:bookmarkEnd w:id="115"/>
      <w:bookmarkEnd w:id="116"/>
      <w:bookmarkEnd w:id="117"/>
      <w:bookmarkEnd w:id="118"/>
      <w:bookmarkEnd w:id="119"/>
      <w:bookmarkEnd w:id="120"/>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p>
    <w:p>
      <w:pPr>
        <w:keepNext w:val="0"/>
        <w:keepLines w:val="0"/>
        <w:pageBreakBefore w:val="0"/>
        <w:widowControl w:val="0"/>
        <w:numPr>
          <w:ilvl w:val="0"/>
          <w:numId w:val="2"/>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二、上级补助收入：指事业单位从主管部门和上级单位取得的非财政补助收入。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color w:val="auto"/>
          <w:sz w:val="32"/>
          <w:szCs w:val="32"/>
        </w:rPr>
      </w:pPr>
      <w:r>
        <w:rPr>
          <w:rFonts w:hint="eastAsia" w:ascii="仿宋_GB2312" w:hAnsi="ˎ̥" w:eastAsia="仿宋_GB2312"/>
          <w:color w:val="auto"/>
          <w:sz w:val="32"/>
          <w:szCs w:val="32"/>
        </w:rPr>
        <w:t>十六、</w:t>
      </w:r>
      <w:r>
        <w:rPr>
          <w:rFonts w:ascii="仿宋_GB2312" w:hAnsi="ˎ̥" w:eastAsia="仿宋_GB2312"/>
          <w:color w:val="auto"/>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color w:val="auto"/>
          <w:sz w:val="32"/>
          <w:szCs w:val="32"/>
        </w:rPr>
      </w:pPr>
      <w:r>
        <w:rPr>
          <w:rFonts w:hint="eastAsia" w:ascii="仿宋_GB2312" w:hAnsi="ˎ̥" w:eastAsia="仿宋_GB2312"/>
          <w:color w:val="auto"/>
          <w:sz w:val="32"/>
          <w:szCs w:val="32"/>
        </w:rPr>
        <w:t>XXXX（类）XXXX（款）XXXX（项），</w:t>
      </w:r>
      <w:r>
        <w:rPr>
          <w:rFonts w:ascii="仿宋_GB2312" w:hAnsi="ˎ̥" w:eastAsia="仿宋_GB2312"/>
          <w:color w:val="auto"/>
          <w:sz w:val="32"/>
          <w:szCs w:val="32"/>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color w:val="auto"/>
          <w:sz w:val="32"/>
          <w:szCs w:val="32"/>
          <w:lang w:val="en-US" w:eastAsia="zh-CN"/>
        </w:rPr>
      </w:pPr>
      <w:r>
        <w:rPr>
          <w:rFonts w:hint="eastAsia" w:ascii="仿宋_GB2312" w:hAnsi="ˎ̥" w:eastAsia="仿宋_GB2312"/>
          <w:color w:val="auto"/>
          <w:sz w:val="32"/>
          <w:szCs w:val="32"/>
        </w:rPr>
        <w:t>XXXX（类）XXXX（款）XXXX（项），</w:t>
      </w:r>
      <w:r>
        <w:rPr>
          <w:rFonts w:ascii="仿宋_GB2312" w:hAnsi="ˎ̥" w:eastAsia="仿宋_GB2312"/>
          <w:color w:val="auto"/>
          <w:sz w:val="32"/>
          <w:szCs w:val="32"/>
        </w:rPr>
        <w:t>……</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color w:val="auto"/>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支出功能分类的名词解释，各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rPr>
        <w:t>部门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单位根据实际支出情况填列，可参阅财政部印发的《</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年政府收支分类科目》</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72109F8D"/>
    <w:multiLevelType w:val="singleLevel"/>
    <w:tmpl w:val="72109F8D"/>
    <w:lvl w:ilvl="0" w:tentative="0">
      <w:start w:val="7"/>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5NjFkY2Y4MjYzMDdhYTc0MGFhOWVjMzFhYTJmNWI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FC80124"/>
    <w:rsid w:val="121E1926"/>
    <w:rsid w:val="136F98C7"/>
    <w:rsid w:val="1428665F"/>
    <w:rsid w:val="17427E68"/>
    <w:rsid w:val="1755065F"/>
    <w:rsid w:val="1AFC29C9"/>
    <w:rsid w:val="1BE0016A"/>
    <w:rsid w:val="1CA52F2E"/>
    <w:rsid w:val="1DFE370B"/>
    <w:rsid w:val="1E3630B9"/>
    <w:rsid w:val="26EEC2B5"/>
    <w:rsid w:val="29472309"/>
    <w:rsid w:val="2B406E77"/>
    <w:rsid w:val="2C2A0C43"/>
    <w:rsid w:val="2D1E73A5"/>
    <w:rsid w:val="32717154"/>
    <w:rsid w:val="34B63260"/>
    <w:rsid w:val="37FDA7E2"/>
    <w:rsid w:val="3A314D88"/>
    <w:rsid w:val="3A746883"/>
    <w:rsid w:val="3CA15DE9"/>
    <w:rsid w:val="3FE61EE5"/>
    <w:rsid w:val="406508EE"/>
    <w:rsid w:val="408D6263"/>
    <w:rsid w:val="41B40CEE"/>
    <w:rsid w:val="466162B1"/>
    <w:rsid w:val="48317291"/>
    <w:rsid w:val="485F7024"/>
    <w:rsid w:val="48E70666"/>
    <w:rsid w:val="4C6877E5"/>
    <w:rsid w:val="4D6A468D"/>
    <w:rsid w:val="4EA86137"/>
    <w:rsid w:val="53753B0E"/>
    <w:rsid w:val="56CA7FD0"/>
    <w:rsid w:val="57FA38D1"/>
    <w:rsid w:val="5F7D3333"/>
    <w:rsid w:val="61385890"/>
    <w:rsid w:val="687436E1"/>
    <w:rsid w:val="6DA45C50"/>
    <w:rsid w:val="6E9A7825"/>
    <w:rsid w:val="6F670F9B"/>
    <w:rsid w:val="737450E0"/>
    <w:rsid w:val="74054476"/>
    <w:rsid w:val="742F38C4"/>
    <w:rsid w:val="74AB66DC"/>
    <w:rsid w:val="74C4154C"/>
    <w:rsid w:val="75956FFF"/>
    <w:rsid w:val="77187FAE"/>
    <w:rsid w:val="77AA2D01"/>
    <w:rsid w:val="78F10436"/>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4242</Words>
  <Characters>4698</Characters>
  <Lines>67</Lines>
  <Paragraphs>18</Paragraphs>
  <TotalTime>18</TotalTime>
  <ScaleCrop>false</ScaleCrop>
  <LinksUpToDate>false</LinksUpToDate>
  <CharactersWithSpaces>4758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HP</cp:lastModifiedBy>
  <cp:lastPrinted>2023-08-03T00:58:00Z</cp:lastPrinted>
  <dcterms:modified xsi:type="dcterms:W3CDTF">2026-01-20T01:24:16Z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03AE7F14E2DC4BACB053764200FF950D_13</vt:lpwstr>
  </property>
  <property fmtid="{D5CDD505-2E9C-101B-9397-08002B2CF9AE}" pid="4" name="KSOTemplateDocerSaveRecord">
    <vt:lpwstr>eyJoZGlkIjoiY2VlZThlZDk5ZTQ4MTFjNGY3MjIxNTdiOWMzZmQwMWMiLCJ1c2VySWQiOiIyMzQ5MTc1OTYifQ==</vt:lpwstr>
  </property>
</Properties>
</file>